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9A788" w14:textId="77777777" w:rsidR="00284A72" w:rsidRPr="00843EB2" w:rsidRDefault="00284A72" w:rsidP="005F357A">
      <w:pPr>
        <w:spacing w:after="0"/>
        <w:jc w:val="center"/>
        <w:outlineLvl w:val="0"/>
        <w:rPr>
          <w:rFonts w:ascii="Times New Roman" w:hAnsi="Times New Roman" w:cs="Times New Roman"/>
          <w:b/>
          <w:sz w:val="32"/>
          <w:szCs w:val="32"/>
        </w:rPr>
      </w:pPr>
    </w:p>
    <w:p w14:paraId="49C2177D" w14:textId="29D7CFB1" w:rsidR="00DE1FC4" w:rsidRPr="00DA7147" w:rsidRDefault="00DE1FC4" w:rsidP="00DE1FC4">
      <w:pPr>
        <w:tabs>
          <w:tab w:val="center" w:pos="4394"/>
          <w:tab w:val="left" w:pos="7935"/>
        </w:tabs>
        <w:spacing w:after="0"/>
        <w:jc w:val="center"/>
        <w:outlineLvl w:val="0"/>
        <w:rPr>
          <w:rFonts w:ascii="Arial" w:hAnsi="Arial" w:cs="Arial"/>
          <w:b/>
          <w:sz w:val="28"/>
          <w:szCs w:val="28"/>
        </w:rPr>
      </w:pPr>
      <w:r w:rsidRPr="00DA7147">
        <w:rPr>
          <w:rFonts w:ascii="Arial" w:hAnsi="Arial" w:cs="Arial"/>
          <w:b/>
          <w:sz w:val="28"/>
          <w:szCs w:val="28"/>
        </w:rPr>
        <w:t>Daud Meloncat-loncat dan Menari-nari</w:t>
      </w:r>
      <w:r w:rsidR="00373665" w:rsidRPr="00DA7147">
        <w:rPr>
          <w:rFonts w:ascii="Arial" w:hAnsi="Arial" w:cs="Arial"/>
          <w:b/>
          <w:sz w:val="28"/>
          <w:szCs w:val="28"/>
        </w:rPr>
        <w:t>: Aspek</w:t>
      </w:r>
      <w:r w:rsidRPr="00DA7147">
        <w:rPr>
          <w:rFonts w:ascii="Arial" w:hAnsi="Arial" w:cs="Arial"/>
          <w:b/>
          <w:sz w:val="28"/>
          <w:szCs w:val="28"/>
        </w:rPr>
        <w:t xml:space="preserve"> Teologis</w:t>
      </w:r>
    </w:p>
    <w:p w14:paraId="4AA8D207" w14:textId="19AA93E3" w:rsidR="00DF6ACC" w:rsidRPr="00DA7147" w:rsidRDefault="00DE1FC4" w:rsidP="00DE1FC4">
      <w:pPr>
        <w:tabs>
          <w:tab w:val="center" w:pos="4394"/>
          <w:tab w:val="left" w:pos="7935"/>
        </w:tabs>
        <w:spacing w:after="0"/>
        <w:jc w:val="center"/>
        <w:outlineLvl w:val="0"/>
        <w:rPr>
          <w:rFonts w:ascii="Arial" w:hAnsi="Arial" w:cs="Arial"/>
          <w:b/>
          <w:sz w:val="28"/>
          <w:szCs w:val="28"/>
        </w:rPr>
      </w:pPr>
      <w:r w:rsidRPr="00DA7147">
        <w:rPr>
          <w:rFonts w:ascii="Arial" w:hAnsi="Arial" w:cs="Arial"/>
          <w:b/>
          <w:sz w:val="28"/>
          <w:szCs w:val="28"/>
        </w:rPr>
        <w:t>Bahasa Tubuh dalam Ibadah Kristiani</w:t>
      </w:r>
    </w:p>
    <w:p w14:paraId="16DB8863" w14:textId="77777777" w:rsidR="00373665" w:rsidRPr="00DA7147" w:rsidRDefault="00DE1FC4" w:rsidP="005F357A">
      <w:pPr>
        <w:spacing w:after="0"/>
        <w:jc w:val="center"/>
        <w:outlineLvl w:val="0"/>
        <w:rPr>
          <w:rFonts w:ascii="Arial" w:hAnsi="Arial" w:cs="Arial"/>
          <w:i/>
          <w:iCs/>
          <w:sz w:val="28"/>
          <w:szCs w:val="28"/>
        </w:rPr>
      </w:pPr>
      <w:r w:rsidRPr="00DA7147">
        <w:rPr>
          <w:rFonts w:ascii="Arial" w:hAnsi="Arial" w:cs="Arial"/>
          <w:i/>
          <w:iCs/>
          <w:sz w:val="28"/>
          <w:szCs w:val="28"/>
        </w:rPr>
        <w:t>David Jumping and Dancing</w:t>
      </w:r>
      <w:r w:rsidR="00373665" w:rsidRPr="00DA7147">
        <w:rPr>
          <w:rFonts w:ascii="Arial" w:hAnsi="Arial" w:cs="Arial"/>
          <w:i/>
          <w:iCs/>
          <w:sz w:val="28"/>
          <w:szCs w:val="28"/>
        </w:rPr>
        <w:t xml:space="preserve">: </w:t>
      </w:r>
      <w:r w:rsidRPr="00DA7147">
        <w:rPr>
          <w:rFonts w:ascii="Arial" w:hAnsi="Arial" w:cs="Arial"/>
          <w:i/>
          <w:iCs/>
          <w:sz w:val="28"/>
          <w:szCs w:val="28"/>
        </w:rPr>
        <w:t xml:space="preserve">Theological </w:t>
      </w:r>
      <w:r w:rsidR="00373665" w:rsidRPr="00DA7147">
        <w:rPr>
          <w:rFonts w:ascii="Arial" w:hAnsi="Arial" w:cs="Arial"/>
          <w:i/>
          <w:iCs/>
          <w:sz w:val="28"/>
          <w:szCs w:val="28"/>
        </w:rPr>
        <w:t>Aspect of Body Language</w:t>
      </w:r>
    </w:p>
    <w:p w14:paraId="7BC21472" w14:textId="7F0C07B1" w:rsidR="00DF6ACC" w:rsidRPr="00DA7147" w:rsidRDefault="00DE1FC4" w:rsidP="005F357A">
      <w:pPr>
        <w:spacing w:after="0"/>
        <w:jc w:val="center"/>
        <w:outlineLvl w:val="0"/>
        <w:rPr>
          <w:rFonts w:ascii="Arial" w:hAnsi="Arial" w:cs="Arial"/>
          <w:b/>
          <w:i/>
          <w:iCs/>
          <w:sz w:val="28"/>
          <w:szCs w:val="28"/>
        </w:rPr>
      </w:pPr>
      <w:r w:rsidRPr="00DA7147">
        <w:rPr>
          <w:rFonts w:ascii="Arial" w:hAnsi="Arial" w:cs="Arial"/>
          <w:i/>
          <w:iCs/>
          <w:sz w:val="28"/>
          <w:szCs w:val="28"/>
        </w:rPr>
        <w:t>in Christian Worship</w:t>
      </w:r>
    </w:p>
    <w:p w14:paraId="78BB81B3" w14:textId="4DD50735" w:rsidR="004E69F0" w:rsidRPr="00843EB2" w:rsidRDefault="004E69F0" w:rsidP="005F357A">
      <w:pPr>
        <w:pStyle w:val="Heading1"/>
        <w:spacing w:line="276" w:lineRule="auto"/>
        <w:jc w:val="center"/>
        <w:rPr>
          <w:i/>
          <w:iCs/>
          <w:szCs w:val="24"/>
        </w:rPr>
      </w:pPr>
    </w:p>
    <w:p w14:paraId="107097A6" w14:textId="376433EA" w:rsidR="0091456E" w:rsidRPr="00DA7147" w:rsidRDefault="00DE1FC4" w:rsidP="005F357A">
      <w:pPr>
        <w:pStyle w:val="Heading1"/>
        <w:spacing w:line="276" w:lineRule="auto"/>
        <w:jc w:val="center"/>
        <w:rPr>
          <w:rFonts w:ascii="Arial" w:hAnsi="Arial" w:cs="Arial"/>
          <w:szCs w:val="24"/>
          <w:lang w:val="es-ES"/>
        </w:rPr>
      </w:pPr>
      <w:r w:rsidRPr="00DA7147">
        <w:rPr>
          <w:rFonts w:ascii="Arial" w:hAnsi="Arial" w:cs="Arial"/>
          <w:b/>
          <w:bCs/>
          <w:szCs w:val="24"/>
          <w:lang w:val="es-ES"/>
        </w:rPr>
        <w:t>Sonny Eli Zaluchu</w:t>
      </w:r>
    </w:p>
    <w:p w14:paraId="3870EFF2" w14:textId="0A17619D" w:rsidR="0091456E" w:rsidRPr="00DA7147" w:rsidRDefault="00DE1FC4" w:rsidP="005F357A">
      <w:pPr>
        <w:pStyle w:val="Heading1"/>
        <w:spacing w:line="276" w:lineRule="auto"/>
        <w:jc w:val="center"/>
        <w:rPr>
          <w:rFonts w:ascii="Arial" w:hAnsi="Arial" w:cs="Arial"/>
          <w:szCs w:val="24"/>
          <w:vertAlign w:val="superscript"/>
        </w:rPr>
      </w:pPr>
      <w:r w:rsidRPr="00DA7147">
        <w:rPr>
          <w:rFonts w:ascii="Arial" w:hAnsi="Arial" w:cs="Arial"/>
          <w:szCs w:val="24"/>
        </w:rPr>
        <w:t>Sekolah Tinggi Teologi Baptis Indonesia</w:t>
      </w:r>
    </w:p>
    <w:p w14:paraId="3224A5B7" w14:textId="1CEC6B2E" w:rsidR="0091456E" w:rsidRPr="00DA7147" w:rsidRDefault="00DE1FC4" w:rsidP="005F357A">
      <w:pPr>
        <w:jc w:val="center"/>
        <w:rPr>
          <w:rFonts w:ascii="Arial" w:hAnsi="Arial" w:cs="Arial"/>
          <w:i/>
          <w:iCs/>
          <w:caps/>
          <w:sz w:val="24"/>
          <w:szCs w:val="24"/>
        </w:rPr>
      </w:pPr>
      <w:r w:rsidRPr="00DA7147">
        <w:rPr>
          <w:rFonts w:ascii="Arial" w:hAnsi="Arial" w:cs="Arial"/>
          <w:i/>
          <w:iCs/>
          <w:sz w:val="24"/>
          <w:szCs w:val="24"/>
        </w:rPr>
        <w:t>sonnyzaluchu@stbi.ac.id</w:t>
      </w:r>
    </w:p>
    <w:p w14:paraId="65D2CE83" w14:textId="18580F25" w:rsidR="0091456E" w:rsidRPr="00DA7147" w:rsidRDefault="00DE1FC4" w:rsidP="005F357A">
      <w:pPr>
        <w:pStyle w:val="Heading1"/>
        <w:spacing w:line="276" w:lineRule="auto"/>
        <w:jc w:val="center"/>
        <w:rPr>
          <w:rFonts w:ascii="Arial" w:hAnsi="Arial" w:cs="Arial"/>
          <w:b/>
          <w:bCs/>
          <w:szCs w:val="24"/>
          <w:vertAlign w:val="superscript"/>
        </w:rPr>
      </w:pPr>
      <w:r w:rsidRPr="00DA7147">
        <w:rPr>
          <w:rFonts w:ascii="Arial" w:hAnsi="Arial" w:cs="Arial"/>
          <w:b/>
          <w:bCs/>
          <w:szCs w:val="24"/>
        </w:rPr>
        <w:t>Yesaya Bangun Ekoliesanto</w:t>
      </w:r>
    </w:p>
    <w:p w14:paraId="010BC6AD" w14:textId="450FF43B" w:rsidR="0091456E" w:rsidRPr="00DA7147" w:rsidRDefault="00DE1FC4" w:rsidP="005F357A">
      <w:pPr>
        <w:pStyle w:val="Heading1"/>
        <w:spacing w:line="276" w:lineRule="auto"/>
        <w:jc w:val="center"/>
        <w:rPr>
          <w:rFonts w:ascii="Arial" w:hAnsi="Arial" w:cs="Arial"/>
          <w:szCs w:val="24"/>
        </w:rPr>
      </w:pPr>
      <w:r w:rsidRPr="00DA7147">
        <w:rPr>
          <w:rFonts w:ascii="Arial" w:hAnsi="Arial" w:cs="Arial"/>
          <w:szCs w:val="24"/>
        </w:rPr>
        <w:t>Sekolah Tinggi Teologi Baptis Indonesia</w:t>
      </w:r>
    </w:p>
    <w:p w14:paraId="4839E46C" w14:textId="7BAD6F29" w:rsidR="0091456E" w:rsidRPr="00DA7147" w:rsidRDefault="00DE1FC4" w:rsidP="005F357A">
      <w:pPr>
        <w:pStyle w:val="Heading1"/>
        <w:spacing w:line="276" w:lineRule="auto"/>
        <w:jc w:val="center"/>
        <w:rPr>
          <w:rFonts w:ascii="Arial" w:hAnsi="Arial" w:cs="Arial"/>
          <w:szCs w:val="24"/>
          <w:lang w:val="id-ID"/>
        </w:rPr>
      </w:pPr>
      <w:r w:rsidRPr="00DA7147">
        <w:rPr>
          <w:rFonts w:ascii="Arial" w:hAnsi="Arial" w:cs="Arial"/>
          <w:i/>
          <w:iCs/>
          <w:szCs w:val="24"/>
        </w:rPr>
        <w:t>yesayaekoliesanto@stbi.ac.id</w:t>
      </w:r>
    </w:p>
    <w:p w14:paraId="2734233A" w14:textId="77777777" w:rsidR="0091456E" w:rsidRPr="00843EB2" w:rsidRDefault="0091456E" w:rsidP="005F357A">
      <w:pPr>
        <w:rPr>
          <w:rFonts w:ascii="Times New Roman" w:hAnsi="Times New Roman" w:cs="Times New Roman"/>
          <w:lang w:val="id-ID" w:eastAsia="de-DE"/>
        </w:rPr>
      </w:pPr>
    </w:p>
    <w:p w14:paraId="6CC4C67D" w14:textId="0AA5FA19" w:rsidR="000934CE" w:rsidRPr="00843EB2" w:rsidRDefault="002B5CBC" w:rsidP="005F357A">
      <w:pPr>
        <w:spacing w:after="0"/>
        <w:ind w:right="566"/>
        <w:jc w:val="both"/>
        <w:rPr>
          <w:rFonts w:ascii="Times New Roman" w:hAnsi="Times New Roman" w:cs="Times New Roman"/>
          <w:b/>
          <w:sz w:val="24"/>
          <w:szCs w:val="20"/>
        </w:rPr>
      </w:pPr>
      <w:r>
        <w:rPr>
          <w:rFonts w:ascii="Times New Roman" w:hAnsi="Times New Roman" w:cs="Times New Roman"/>
          <w:b/>
          <w:noProof/>
          <w:sz w:val="24"/>
          <w:szCs w:val="20"/>
        </w:rPr>
        <mc:AlternateContent>
          <mc:Choice Requires="wps">
            <w:drawing>
              <wp:anchor distT="0" distB="0" distL="114300" distR="114300" simplePos="0" relativeHeight="251658240" behindDoc="0" locked="0" layoutInCell="1" allowOverlap="1" wp14:anchorId="450FBAEC" wp14:editId="3233DCAF">
                <wp:simplePos x="0" y="0"/>
                <wp:positionH relativeFrom="column">
                  <wp:posOffset>13335</wp:posOffset>
                </wp:positionH>
                <wp:positionV relativeFrom="paragraph">
                  <wp:posOffset>13335</wp:posOffset>
                </wp:positionV>
                <wp:extent cx="5562600" cy="0"/>
                <wp:effectExtent l="17145" t="19050" r="20955"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3175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5C9DEF" id="_x0000_t32" coordsize="21600,21600" o:spt="32" o:oned="t" path="m,l21600,21600e" filled="f">
                <v:path arrowok="t" fillok="f" o:connecttype="none"/>
                <o:lock v:ext="edit" shapetype="t"/>
              </v:shapetype>
              <v:shape id="AutoShape 2" o:spid="_x0000_s1026" type="#_x0000_t32" style="position:absolute;margin-left:1.05pt;margin-top:1.05pt;width:43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" strokecolor="#c0504d [3205]" strokeweight="2.5pt">
                <v:shadow color="#868686"/>
              </v:shape>
            </w:pict>
          </mc:Fallback>
        </mc:AlternateContent>
      </w:r>
    </w:p>
    <w:p w14:paraId="62B10A66" w14:textId="05FB3293" w:rsidR="009F4886" w:rsidRPr="00843EB2" w:rsidRDefault="009F4886" w:rsidP="005F357A">
      <w:pPr>
        <w:spacing w:after="0"/>
        <w:ind w:right="566"/>
        <w:jc w:val="both"/>
        <w:rPr>
          <w:rFonts w:ascii="Times New Roman" w:hAnsi="Times New Roman" w:cs="Times New Roman"/>
          <w:b/>
          <w:i/>
          <w:sz w:val="24"/>
          <w:szCs w:val="24"/>
        </w:rPr>
      </w:pPr>
      <w:r w:rsidRPr="00843EB2">
        <w:rPr>
          <w:rFonts w:ascii="Times New Roman" w:hAnsi="Times New Roman" w:cs="Times New Roman"/>
          <w:b/>
          <w:i/>
          <w:sz w:val="24"/>
          <w:szCs w:val="24"/>
        </w:rPr>
        <w:t>Abstract</w:t>
      </w:r>
    </w:p>
    <w:p w14:paraId="68D68D63" w14:textId="300C9E0D" w:rsidR="00AF34E5" w:rsidRPr="00DA7147" w:rsidRDefault="00DE1FC4" w:rsidP="00DA7147">
      <w:pPr>
        <w:spacing w:after="0" w:line="240" w:lineRule="auto"/>
        <w:ind w:right="-1" w:firstLine="567"/>
        <w:jc w:val="both"/>
        <w:rPr>
          <w:rFonts w:ascii="Times New Roman" w:hAnsi="Times New Roman" w:cs="Times New Roman"/>
          <w:bCs/>
          <w:i/>
          <w:szCs w:val="24"/>
        </w:rPr>
      </w:pPr>
      <w:r w:rsidRPr="00DA7147">
        <w:rPr>
          <w:rFonts w:ascii="Times New Roman" w:hAnsi="Times New Roman" w:cs="Times New Roman"/>
          <w:bCs/>
          <w:i/>
          <w:szCs w:val="24"/>
        </w:rPr>
        <w:t>The use of expressive body language, such as jumping and dancing, is often underestimated in Christian worship. Its existence is often labeled with charismatic church. This paper will discuss the use of dance and other expressive gestures in Christian worship based on the story of David jumping and dancing (2 Sam 6: 14-16). The method used in this paper is study of literature. This study will analyze David's dance in the Old Testament and the essential meaning of Christian service. It may be concluded that David who jumped and danced could be used as a theological basis for body language in Christian Worship, as long as this expressive body languages are used responsibly with faithful essential meaning of worship.</w:t>
      </w:r>
    </w:p>
    <w:p w14:paraId="4BAAB646" w14:textId="11A1C11C" w:rsidR="009F4886" w:rsidRPr="00DA7147" w:rsidRDefault="009F4886" w:rsidP="00DA7147">
      <w:pPr>
        <w:spacing w:after="0" w:line="240" w:lineRule="auto"/>
        <w:ind w:right="566"/>
        <w:jc w:val="both"/>
        <w:rPr>
          <w:rFonts w:ascii="Times New Roman" w:hAnsi="Times New Roman" w:cs="Times New Roman"/>
          <w:i/>
          <w:szCs w:val="24"/>
        </w:rPr>
      </w:pPr>
      <w:r w:rsidRPr="00DA7147">
        <w:rPr>
          <w:rFonts w:ascii="Times New Roman" w:hAnsi="Times New Roman" w:cs="Times New Roman"/>
          <w:b/>
          <w:i/>
          <w:szCs w:val="24"/>
        </w:rPr>
        <w:t>Key words</w:t>
      </w:r>
      <w:r w:rsidRPr="00DA7147">
        <w:rPr>
          <w:rFonts w:ascii="Times New Roman" w:hAnsi="Times New Roman" w:cs="Times New Roman"/>
          <w:i/>
          <w:szCs w:val="24"/>
        </w:rPr>
        <w:t xml:space="preserve">: </w:t>
      </w:r>
      <w:r w:rsidR="00425D6A">
        <w:rPr>
          <w:rFonts w:ascii="Times New Roman" w:hAnsi="Times New Roman" w:cs="Times New Roman"/>
          <w:i/>
          <w:szCs w:val="24"/>
        </w:rPr>
        <w:t>David, dancing, theology, christian s</w:t>
      </w:r>
      <w:r w:rsidR="00DE1FC4" w:rsidRPr="00DA7147">
        <w:rPr>
          <w:rFonts w:ascii="Times New Roman" w:hAnsi="Times New Roman" w:cs="Times New Roman"/>
          <w:i/>
          <w:szCs w:val="24"/>
        </w:rPr>
        <w:t>ervice</w:t>
      </w:r>
      <w:r w:rsidR="00425D6A">
        <w:rPr>
          <w:rFonts w:ascii="Times New Roman" w:hAnsi="Times New Roman" w:cs="Times New Roman"/>
          <w:i/>
          <w:szCs w:val="24"/>
        </w:rPr>
        <w:t>, worship</w:t>
      </w:r>
      <w:bookmarkStart w:id="0" w:name="_GoBack"/>
      <w:bookmarkEnd w:id="0"/>
      <w:r w:rsidR="00DE1FC4" w:rsidRPr="00DA7147">
        <w:rPr>
          <w:rFonts w:ascii="Times New Roman" w:hAnsi="Times New Roman" w:cs="Times New Roman"/>
          <w:i/>
          <w:szCs w:val="24"/>
        </w:rPr>
        <w:t>.</w:t>
      </w:r>
    </w:p>
    <w:p w14:paraId="6EE1ACDA" w14:textId="7114C554" w:rsidR="009F4886" w:rsidRPr="00843EB2" w:rsidRDefault="009F4886" w:rsidP="005F357A">
      <w:pPr>
        <w:spacing w:after="0"/>
        <w:ind w:right="566"/>
        <w:jc w:val="both"/>
        <w:rPr>
          <w:rFonts w:ascii="Times New Roman" w:hAnsi="Times New Roman" w:cs="Times New Roman"/>
          <w:b/>
          <w:sz w:val="24"/>
          <w:szCs w:val="20"/>
        </w:rPr>
      </w:pPr>
    </w:p>
    <w:p w14:paraId="5269DF1C" w14:textId="1AA3636F" w:rsidR="00C06F2A" w:rsidRPr="00843EB2" w:rsidRDefault="00C06F2A" w:rsidP="005F357A">
      <w:pPr>
        <w:spacing w:after="0"/>
        <w:ind w:right="566"/>
        <w:jc w:val="both"/>
        <w:rPr>
          <w:rFonts w:ascii="Times New Roman" w:hAnsi="Times New Roman" w:cs="Times New Roman"/>
          <w:b/>
          <w:sz w:val="24"/>
          <w:szCs w:val="20"/>
        </w:rPr>
      </w:pPr>
      <w:r w:rsidRPr="00843EB2">
        <w:rPr>
          <w:rFonts w:ascii="Times New Roman" w:hAnsi="Times New Roman" w:cs="Times New Roman"/>
          <w:b/>
          <w:sz w:val="24"/>
          <w:szCs w:val="20"/>
        </w:rPr>
        <w:t>Abstrak</w:t>
      </w:r>
    </w:p>
    <w:p w14:paraId="1CA58512" w14:textId="6929CFA1" w:rsidR="00F239F6" w:rsidRPr="00DA7147" w:rsidRDefault="00DE1FC4" w:rsidP="00DA7147">
      <w:pPr>
        <w:spacing w:after="0" w:line="240" w:lineRule="auto"/>
        <w:ind w:right="-1" w:firstLine="567"/>
        <w:jc w:val="both"/>
        <w:rPr>
          <w:rStyle w:val="Strong"/>
          <w:rFonts w:ascii="Times New Roman" w:hAnsi="Times New Roman" w:cs="Times New Roman"/>
          <w:b w:val="0"/>
          <w:bCs w:val="0"/>
          <w:color w:val="000000"/>
          <w:szCs w:val="24"/>
          <w:shd w:val="clear" w:color="auto" w:fill="FFFFFF"/>
        </w:rPr>
      </w:pPr>
      <w:r w:rsidRPr="00DA7147">
        <w:rPr>
          <w:rStyle w:val="Strong"/>
          <w:rFonts w:ascii="Times New Roman" w:hAnsi="Times New Roman" w:cs="Times New Roman"/>
          <w:b w:val="0"/>
          <w:color w:val="000000"/>
          <w:szCs w:val="24"/>
          <w:shd w:val="clear" w:color="auto" w:fill="FFFFFF"/>
        </w:rPr>
        <w:t>Penggunaan bahasa tubuh ekspresif, seperti meloncat-loncat dan menari-nari sering dipandang sebelah mata dalam ibadah Kristiani. Keberadaannya sering dilabelkan dengan gereja karismatik. Makalah ini akan membahas penggunaan tarian dan bahasa tubuh ekspresif lain dalam ibadah Kristiani berdasarkan kisah Daud yang meloncat-loncat dan menari-nari (2 Sam 6:14-16). Metode yang digunakan adalah kajian literatur yang menganalisa tarian Daud dalam Perjanjian Lama dan esensi ibadah Kristiani. Berdasarkan studi literatur tersebut, dapat disimpulkan bahwa Daud yang meloncat-loncat dan menari-nari dapat digunakan sebagai dasar teologis bahasa tubuh di dalam ibadah Kristiani, dengan catatan bahwa hal ini dilakukan dengan penuh tanggung jawab dan memiliki esensi ibadah yang benar.</w:t>
      </w:r>
    </w:p>
    <w:p w14:paraId="109DD58D" w14:textId="3519365E" w:rsidR="00621FDC" w:rsidRPr="00DA7147" w:rsidRDefault="00284A72" w:rsidP="00DA7147">
      <w:pPr>
        <w:spacing w:after="0" w:line="240" w:lineRule="auto"/>
        <w:jc w:val="both"/>
        <w:rPr>
          <w:rFonts w:ascii="Times New Roman" w:eastAsia="Times New Roman" w:hAnsi="Times New Roman" w:cs="Times New Roman"/>
          <w:sz w:val="28"/>
          <w:szCs w:val="24"/>
          <w:lang w:eastAsia="id-ID"/>
        </w:rPr>
      </w:pPr>
      <w:r w:rsidRPr="00DA7147">
        <w:rPr>
          <w:rFonts w:ascii="Times New Roman" w:hAnsi="Times New Roman" w:cs="Times New Roman"/>
          <w:b/>
          <w:szCs w:val="20"/>
        </w:rPr>
        <w:t>Kata</w:t>
      </w:r>
      <w:r w:rsidR="00F239F6" w:rsidRPr="00DA7147">
        <w:rPr>
          <w:rFonts w:ascii="Times New Roman" w:hAnsi="Times New Roman" w:cs="Times New Roman"/>
          <w:b/>
          <w:szCs w:val="20"/>
        </w:rPr>
        <w:t xml:space="preserve"> </w:t>
      </w:r>
      <w:r w:rsidRPr="00DA7147">
        <w:rPr>
          <w:rFonts w:ascii="Times New Roman" w:hAnsi="Times New Roman" w:cs="Times New Roman"/>
          <w:b/>
          <w:szCs w:val="20"/>
        </w:rPr>
        <w:t>kunci</w:t>
      </w:r>
      <w:r w:rsidR="00621FDC" w:rsidRPr="00DA7147">
        <w:rPr>
          <w:rFonts w:ascii="Times New Roman" w:hAnsi="Times New Roman" w:cs="Times New Roman"/>
          <w:szCs w:val="20"/>
        </w:rPr>
        <w:t>:</w:t>
      </w:r>
      <w:r w:rsidR="00F239F6" w:rsidRPr="00DA7147">
        <w:rPr>
          <w:rFonts w:ascii="Times New Roman" w:hAnsi="Times New Roman" w:cs="Times New Roman"/>
          <w:szCs w:val="20"/>
        </w:rPr>
        <w:t xml:space="preserve"> </w:t>
      </w:r>
      <w:r w:rsidR="00425D6A">
        <w:rPr>
          <w:rFonts w:ascii="Times New Roman" w:hAnsi="Times New Roman" w:cs="Times New Roman"/>
          <w:szCs w:val="20"/>
        </w:rPr>
        <w:t>Daud, menari, t</w:t>
      </w:r>
      <w:r w:rsidR="00DE1FC4" w:rsidRPr="00DA7147">
        <w:rPr>
          <w:rFonts w:ascii="Times New Roman" w:hAnsi="Times New Roman" w:cs="Times New Roman"/>
          <w:szCs w:val="20"/>
        </w:rPr>
        <w:t>eologi</w:t>
      </w:r>
      <w:r w:rsidR="00425D6A">
        <w:rPr>
          <w:rFonts w:ascii="Times New Roman" w:hAnsi="Times New Roman" w:cs="Times New Roman"/>
          <w:szCs w:val="20"/>
        </w:rPr>
        <w:t>s, i</w:t>
      </w:r>
      <w:r w:rsidR="00DE1FC4" w:rsidRPr="00DA7147">
        <w:rPr>
          <w:rFonts w:ascii="Times New Roman" w:hAnsi="Times New Roman" w:cs="Times New Roman"/>
          <w:szCs w:val="20"/>
        </w:rPr>
        <w:t>badah</w:t>
      </w:r>
      <w:r w:rsidR="00425D6A">
        <w:rPr>
          <w:rFonts w:ascii="Times New Roman" w:hAnsi="Times New Roman" w:cs="Times New Roman"/>
          <w:szCs w:val="20"/>
        </w:rPr>
        <w:t>, penyembahan</w:t>
      </w:r>
      <w:r w:rsidR="00DE1FC4" w:rsidRPr="00DA7147">
        <w:rPr>
          <w:rFonts w:ascii="Times New Roman" w:hAnsi="Times New Roman" w:cs="Times New Roman"/>
          <w:szCs w:val="20"/>
        </w:rPr>
        <w:t>.</w:t>
      </w:r>
      <w:r w:rsidRPr="00DA7147">
        <w:rPr>
          <w:rStyle w:val="Strong"/>
          <w:rFonts w:ascii="Times New Roman" w:hAnsi="Times New Roman" w:cs="Times New Roman"/>
          <w:color w:val="000000"/>
          <w:sz w:val="20"/>
          <w:shd w:val="clear" w:color="auto" w:fill="FFFFFF"/>
        </w:rPr>
        <w:t> </w:t>
      </w:r>
    </w:p>
    <w:p w14:paraId="0FC179A1" w14:textId="1EE4A650" w:rsidR="00284A72" w:rsidRPr="00843EB2" w:rsidRDefault="002B5CBC" w:rsidP="005F357A">
      <w:pPr>
        <w:spacing w:after="0"/>
        <w:ind w:right="566"/>
        <w:jc w:val="both"/>
        <w:rPr>
          <w:rFonts w:ascii="Times New Roman" w:hAnsi="Times New Roman" w:cs="Times New Roman"/>
          <w:b/>
          <w:sz w:val="24"/>
          <w:szCs w:val="24"/>
        </w:rPr>
      </w:pPr>
      <w:r>
        <w:rPr>
          <w:rFonts w:ascii="Times New Roman" w:hAnsi="Times New Roman" w:cs="Times New Roman"/>
          <w:b/>
          <w:noProof/>
          <w:sz w:val="24"/>
          <w:szCs w:val="20"/>
        </w:rPr>
        <mc:AlternateContent>
          <mc:Choice Requires="wps">
            <w:drawing>
              <wp:anchor distT="0" distB="0" distL="114300" distR="114300" simplePos="0" relativeHeight="251659264" behindDoc="0" locked="0" layoutInCell="1" allowOverlap="1" wp14:anchorId="450FBAEC" wp14:editId="18DAD9DD">
                <wp:simplePos x="0" y="0"/>
                <wp:positionH relativeFrom="column">
                  <wp:posOffset>3810</wp:posOffset>
                </wp:positionH>
                <wp:positionV relativeFrom="paragraph">
                  <wp:posOffset>129540</wp:posOffset>
                </wp:positionV>
                <wp:extent cx="5572125" cy="0"/>
                <wp:effectExtent l="17145" t="20320" r="20955" b="1778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2125" cy="0"/>
                        </a:xfrm>
                        <a:prstGeom prst="straightConnector1">
                          <a:avLst/>
                        </a:prstGeom>
                        <a:noFill/>
                        <a:ln w="3175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B5A33F" id="AutoShape 4" o:spid="_x0000_s1026" type="#_x0000_t32" style="position:absolute;margin-left:.3pt;margin-top:10.2pt;width:438.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" strokecolor="#c0504d [3205]" strokeweight="2.5pt">
                <v:shadow color="#868686"/>
              </v:shape>
            </w:pict>
          </mc:Fallback>
        </mc:AlternateContent>
      </w:r>
    </w:p>
    <w:p w14:paraId="058E3997" w14:textId="330136FA" w:rsidR="00EF78C1" w:rsidRPr="00843EB2" w:rsidRDefault="00EF78C1" w:rsidP="005F357A">
      <w:pPr>
        <w:spacing w:after="0"/>
        <w:outlineLvl w:val="0"/>
        <w:rPr>
          <w:rFonts w:ascii="Times New Roman" w:eastAsia="Times New Roman" w:hAnsi="Times New Roman" w:cs="Times New Roman"/>
          <w:b/>
          <w:color w:val="000000"/>
          <w:sz w:val="24"/>
          <w:szCs w:val="24"/>
          <w:lang w:val="id-ID"/>
        </w:rPr>
      </w:pPr>
    </w:p>
    <w:p w14:paraId="3338DD31" w14:textId="77777777" w:rsidR="007419B4" w:rsidRPr="00843EB2" w:rsidRDefault="007419B4" w:rsidP="005F357A">
      <w:pPr>
        <w:spacing w:after="0"/>
        <w:outlineLvl w:val="0"/>
        <w:rPr>
          <w:rFonts w:ascii="Times New Roman" w:eastAsia="Times New Roman" w:hAnsi="Times New Roman" w:cs="Times New Roman"/>
          <w:b/>
          <w:color w:val="000000"/>
          <w:sz w:val="24"/>
          <w:szCs w:val="24"/>
          <w:lang w:val="id-ID"/>
        </w:rPr>
        <w:sectPr w:rsidR="007419B4" w:rsidRPr="00843EB2" w:rsidSect="006F3975">
          <w:headerReference w:type="even" r:id="rId8"/>
          <w:headerReference w:type="default" r:id="rId9"/>
          <w:footerReference w:type="even" r:id="rId10"/>
          <w:footerReference w:type="default" r:id="rId11"/>
          <w:footerReference w:type="first" r:id="rId12"/>
          <w:type w:val="continuous"/>
          <w:pgSz w:w="11907" w:h="16840" w:code="9"/>
          <w:pgMar w:top="1701" w:right="1418" w:bottom="1418" w:left="1701" w:header="1134" w:footer="1134" w:gutter="0"/>
          <w:pgNumType w:start="1"/>
          <w:cols w:space="567"/>
          <w:noEndnote/>
          <w:docGrid w:linePitch="326"/>
        </w:sectPr>
      </w:pPr>
    </w:p>
    <w:p w14:paraId="3C44091B" w14:textId="51E26A17" w:rsidR="001B5726" w:rsidRPr="00843EB2" w:rsidRDefault="00DE1FC4" w:rsidP="00F57C68">
      <w:pPr>
        <w:spacing w:after="0" w:line="288" w:lineRule="auto"/>
        <w:jc w:val="both"/>
        <w:outlineLvl w:val="0"/>
        <w:rPr>
          <w:rFonts w:ascii="Times New Roman" w:hAnsi="Times New Roman" w:cs="Times New Roman"/>
          <w:b/>
          <w:sz w:val="24"/>
          <w:szCs w:val="24"/>
        </w:rPr>
      </w:pPr>
      <w:r>
        <w:rPr>
          <w:rFonts w:ascii="Times New Roman" w:hAnsi="Times New Roman" w:cs="Times New Roman"/>
          <w:b/>
          <w:sz w:val="24"/>
          <w:szCs w:val="24"/>
        </w:rPr>
        <w:lastRenderedPageBreak/>
        <w:t>Pendahuluan</w:t>
      </w:r>
    </w:p>
    <w:p w14:paraId="5975307F" w14:textId="66631951" w:rsidR="00EC4473" w:rsidRDefault="00DE1FC4" w:rsidP="00F57C68">
      <w:pPr>
        <w:spacing w:after="0" w:line="288" w:lineRule="auto"/>
        <w:ind w:firstLine="567"/>
        <w:jc w:val="both"/>
        <w:rPr>
          <w:rFonts w:ascii="Times New Roman" w:hAnsi="Times New Roman" w:cs="Times New Roman"/>
          <w:sz w:val="24"/>
          <w:szCs w:val="24"/>
        </w:rPr>
      </w:pPr>
      <w:r w:rsidRPr="00DE1FC4">
        <w:rPr>
          <w:rFonts w:ascii="Times New Roman" w:hAnsi="Times New Roman" w:cs="Times New Roman"/>
          <w:sz w:val="24"/>
          <w:szCs w:val="24"/>
        </w:rPr>
        <w:t xml:space="preserve">Ibadah </w:t>
      </w:r>
      <w:r w:rsidR="00544DD2">
        <w:rPr>
          <w:rFonts w:ascii="Times New Roman" w:hAnsi="Times New Roman" w:cs="Times New Roman"/>
          <w:sz w:val="24"/>
          <w:szCs w:val="24"/>
        </w:rPr>
        <w:t xml:space="preserve">memiliki peranan yang sangat </w:t>
      </w:r>
      <w:r w:rsidR="00EC4473">
        <w:rPr>
          <w:rFonts w:ascii="Times New Roman" w:hAnsi="Times New Roman" w:cs="Times New Roman"/>
          <w:sz w:val="24"/>
          <w:szCs w:val="24"/>
        </w:rPr>
        <w:t>penting</w:t>
      </w:r>
      <w:r w:rsidR="00544DD2">
        <w:rPr>
          <w:rFonts w:ascii="Times New Roman" w:hAnsi="Times New Roman" w:cs="Times New Roman"/>
          <w:sz w:val="24"/>
          <w:szCs w:val="24"/>
        </w:rPr>
        <w:t xml:space="preserve"> di dalam spiritualitas kristiani</w:t>
      </w:r>
      <w:r w:rsidRPr="00DE1FC4">
        <w:rPr>
          <w:rFonts w:ascii="Times New Roman" w:hAnsi="Times New Roman" w:cs="Times New Roman"/>
          <w:sz w:val="24"/>
          <w:szCs w:val="24"/>
        </w:rPr>
        <w:t xml:space="preserve">. </w:t>
      </w:r>
      <w:r w:rsidR="00EC4473">
        <w:rPr>
          <w:rFonts w:ascii="Times New Roman" w:hAnsi="Times New Roman" w:cs="Times New Roman"/>
          <w:sz w:val="24"/>
          <w:szCs w:val="24"/>
        </w:rPr>
        <w:t>Melalui i</w:t>
      </w:r>
      <w:r w:rsidRPr="00DE1FC4">
        <w:rPr>
          <w:rFonts w:ascii="Times New Roman" w:hAnsi="Times New Roman" w:cs="Times New Roman"/>
          <w:sz w:val="24"/>
          <w:szCs w:val="24"/>
        </w:rPr>
        <w:t>badah</w:t>
      </w:r>
      <w:r w:rsidR="00EC4473">
        <w:rPr>
          <w:rFonts w:ascii="Times New Roman" w:hAnsi="Times New Roman" w:cs="Times New Roman"/>
          <w:sz w:val="24"/>
          <w:szCs w:val="24"/>
        </w:rPr>
        <w:t xml:space="preserve">, terbentuk </w:t>
      </w:r>
      <w:r w:rsidRPr="00DE1FC4">
        <w:rPr>
          <w:rFonts w:ascii="Times New Roman" w:hAnsi="Times New Roman" w:cs="Times New Roman"/>
          <w:sz w:val="24"/>
          <w:szCs w:val="24"/>
        </w:rPr>
        <w:t xml:space="preserve">jembatan bagi orang Kristen untuk </w:t>
      </w:r>
      <w:r w:rsidR="00544DD2">
        <w:rPr>
          <w:rFonts w:ascii="Times New Roman" w:hAnsi="Times New Roman" w:cs="Times New Roman"/>
          <w:sz w:val="24"/>
          <w:szCs w:val="24"/>
        </w:rPr>
        <w:t>mengeskpresikan kepercayaan, penghormatan dan hubungan</w:t>
      </w:r>
      <w:r w:rsidR="00EC4473">
        <w:rPr>
          <w:rFonts w:ascii="Times New Roman" w:hAnsi="Times New Roman" w:cs="Times New Roman"/>
          <w:sz w:val="24"/>
          <w:szCs w:val="24"/>
        </w:rPr>
        <w:t xml:space="preserve">-Nya </w:t>
      </w:r>
      <w:r w:rsidRPr="00DE1FC4">
        <w:rPr>
          <w:rFonts w:ascii="Times New Roman" w:hAnsi="Times New Roman" w:cs="Times New Roman"/>
          <w:sz w:val="24"/>
          <w:szCs w:val="24"/>
        </w:rPr>
        <w:t>dengan Allah</w:t>
      </w:r>
      <w:r w:rsidR="00544DD2">
        <w:rPr>
          <w:rFonts w:ascii="Times New Roman" w:hAnsi="Times New Roman" w:cs="Times New Roman"/>
          <w:sz w:val="24"/>
          <w:szCs w:val="24"/>
        </w:rPr>
        <w:t xml:space="preserve">. </w:t>
      </w:r>
      <w:r w:rsidR="00EC4473">
        <w:rPr>
          <w:rFonts w:ascii="Times New Roman" w:hAnsi="Times New Roman" w:cs="Times New Roman"/>
          <w:sz w:val="24"/>
          <w:szCs w:val="24"/>
        </w:rPr>
        <w:t xml:space="preserve">Bagi orang percaya yang religius, pengertian dan implementasi ibadah seperti pengertian di atas sangat di dalami. Di dalam </w:t>
      </w:r>
      <w:r w:rsidR="00EC4473">
        <w:rPr>
          <w:rFonts w:ascii="Times New Roman" w:hAnsi="Times New Roman" w:cs="Times New Roman"/>
          <w:sz w:val="24"/>
          <w:szCs w:val="24"/>
        </w:rPr>
        <w:lastRenderedPageBreak/>
        <w:t>ibadah terlihat adanya penghayatan dan totalitas yang ekspresikan melalui bahasa tubuh saat melaksanakan pujian dan penyembahan.</w:t>
      </w:r>
    </w:p>
    <w:p w14:paraId="0E83EC98" w14:textId="776ADE3A" w:rsidR="00DE1FC4" w:rsidRDefault="00EC4473"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Akan tetapi, terdapat juga kelompok orang Kristen yang mengabaikan pentingnya aspek penghayatan dalam ibadah. Bagi yang seperti ini, ibadah </w:t>
      </w:r>
      <w:r w:rsidR="00DE1FC4" w:rsidRPr="00DE1FC4">
        <w:rPr>
          <w:rFonts w:ascii="Times New Roman" w:hAnsi="Times New Roman" w:cs="Times New Roman"/>
          <w:sz w:val="24"/>
          <w:szCs w:val="24"/>
        </w:rPr>
        <w:t xml:space="preserve">hanya </w:t>
      </w:r>
      <w:r>
        <w:rPr>
          <w:rFonts w:ascii="Times New Roman" w:hAnsi="Times New Roman" w:cs="Times New Roman"/>
          <w:sz w:val="24"/>
          <w:szCs w:val="24"/>
        </w:rPr>
        <w:t xml:space="preserve">dijalani </w:t>
      </w:r>
      <w:r w:rsidR="00DE1FC4" w:rsidRPr="00DE1FC4">
        <w:rPr>
          <w:rFonts w:ascii="Times New Roman" w:hAnsi="Times New Roman" w:cs="Times New Roman"/>
          <w:sz w:val="24"/>
          <w:szCs w:val="24"/>
        </w:rPr>
        <w:t xml:space="preserve">sebagai sebuah </w:t>
      </w:r>
      <w:r>
        <w:rPr>
          <w:rFonts w:ascii="Times New Roman" w:hAnsi="Times New Roman" w:cs="Times New Roman"/>
          <w:sz w:val="24"/>
          <w:szCs w:val="24"/>
        </w:rPr>
        <w:t xml:space="preserve">ritus agama dalam rutinitas. Totalitas </w:t>
      </w:r>
      <w:r w:rsidR="00DE1FC4" w:rsidRPr="00DE1FC4">
        <w:rPr>
          <w:rFonts w:ascii="Times New Roman" w:hAnsi="Times New Roman" w:cs="Times New Roman"/>
          <w:sz w:val="24"/>
          <w:szCs w:val="24"/>
        </w:rPr>
        <w:t xml:space="preserve"> </w:t>
      </w:r>
      <w:r>
        <w:rPr>
          <w:rFonts w:ascii="Times New Roman" w:hAnsi="Times New Roman" w:cs="Times New Roman"/>
          <w:sz w:val="24"/>
          <w:szCs w:val="24"/>
        </w:rPr>
        <w:t xml:space="preserve">ekspresif dalam melaksanakan pujian dan </w:t>
      </w:r>
      <w:r w:rsidR="00DE1FC4" w:rsidRPr="00DE1FC4">
        <w:rPr>
          <w:rFonts w:ascii="Times New Roman" w:hAnsi="Times New Roman" w:cs="Times New Roman"/>
          <w:sz w:val="24"/>
          <w:szCs w:val="24"/>
        </w:rPr>
        <w:t>penyembahan</w:t>
      </w:r>
      <w:r>
        <w:rPr>
          <w:rFonts w:ascii="Times New Roman" w:hAnsi="Times New Roman" w:cs="Times New Roman"/>
          <w:sz w:val="24"/>
          <w:szCs w:val="24"/>
        </w:rPr>
        <w:t xml:space="preserve"> tidak terlihat</w:t>
      </w:r>
      <w:r w:rsidR="00DE1FC4" w:rsidRPr="00DE1FC4">
        <w:rPr>
          <w:rFonts w:ascii="Times New Roman" w:hAnsi="Times New Roman" w:cs="Times New Roman"/>
          <w:sz w:val="24"/>
          <w:szCs w:val="24"/>
        </w:rPr>
        <w:t>.</w:t>
      </w:r>
      <w:r>
        <w:rPr>
          <w:rFonts w:ascii="Times New Roman" w:hAnsi="Times New Roman" w:cs="Times New Roman"/>
          <w:sz w:val="24"/>
          <w:szCs w:val="24"/>
        </w:rPr>
        <w:t xml:space="preserve"> Hal tersebut dapat diamati dari gestur tubuh jemaat yang hanya duduk diam, tanpa ekspresi dan kebanyakan melipat tangan di dada. Sekalipun menggerakkn anggota tubuh, polanya mudah terbaca sebagai sebuah pengulangan, dari</w:t>
      </w:r>
      <w:r w:rsidR="00DE1FC4" w:rsidRPr="00DE1FC4">
        <w:rPr>
          <w:rFonts w:ascii="Times New Roman" w:hAnsi="Times New Roman" w:cs="Times New Roman"/>
          <w:sz w:val="24"/>
          <w:szCs w:val="24"/>
        </w:rPr>
        <w:t xml:space="preserve"> duduk, berdiri dan bertepuk tangan</w:t>
      </w:r>
      <w:r>
        <w:rPr>
          <w:rFonts w:ascii="Times New Roman" w:hAnsi="Times New Roman" w:cs="Times New Roman"/>
          <w:sz w:val="24"/>
          <w:szCs w:val="24"/>
        </w:rPr>
        <w:t xml:space="preserve"> untuk kemudian duduk kembali</w:t>
      </w:r>
      <w:r w:rsidR="00DE1FC4" w:rsidRPr="00DE1FC4">
        <w:rPr>
          <w:rFonts w:ascii="Times New Roman" w:hAnsi="Times New Roman" w:cs="Times New Roman"/>
          <w:sz w:val="24"/>
          <w:szCs w:val="24"/>
        </w:rPr>
        <w:t xml:space="preserve">. Gerakan-gerakan ini pada umumnya dilakukan bukan </w:t>
      </w:r>
      <w:r>
        <w:rPr>
          <w:rFonts w:ascii="Times New Roman" w:hAnsi="Times New Roman" w:cs="Times New Roman"/>
          <w:sz w:val="24"/>
          <w:szCs w:val="24"/>
        </w:rPr>
        <w:t xml:space="preserve">dalam kesadaran untuk penyembahan dan pujian, tetapi semata-mata berlangsung </w:t>
      </w:r>
      <w:r w:rsidR="005B263D">
        <w:rPr>
          <w:rFonts w:ascii="Times New Roman" w:hAnsi="Times New Roman" w:cs="Times New Roman"/>
          <w:sz w:val="24"/>
          <w:szCs w:val="24"/>
        </w:rPr>
        <w:t xml:space="preserve">akibat </w:t>
      </w:r>
      <w:r>
        <w:rPr>
          <w:rFonts w:ascii="Times New Roman" w:hAnsi="Times New Roman" w:cs="Times New Roman"/>
          <w:sz w:val="24"/>
          <w:szCs w:val="24"/>
        </w:rPr>
        <w:t xml:space="preserve">komando </w:t>
      </w:r>
      <w:r w:rsidR="00DE1FC4" w:rsidRPr="00DE1FC4">
        <w:rPr>
          <w:rFonts w:ascii="Times New Roman" w:hAnsi="Times New Roman" w:cs="Times New Roman"/>
          <w:sz w:val="24"/>
          <w:szCs w:val="24"/>
        </w:rPr>
        <w:t>pemimpin ibadah</w:t>
      </w:r>
      <w:r w:rsidR="005B263D">
        <w:rPr>
          <w:rFonts w:ascii="Times New Roman" w:hAnsi="Times New Roman" w:cs="Times New Roman"/>
          <w:sz w:val="24"/>
          <w:szCs w:val="24"/>
        </w:rPr>
        <w:t xml:space="preserve">. </w:t>
      </w:r>
      <w:r w:rsidR="00DE1FC4" w:rsidRPr="00DE1FC4">
        <w:rPr>
          <w:rFonts w:ascii="Times New Roman" w:hAnsi="Times New Roman" w:cs="Times New Roman"/>
          <w:sz w:val="24"/>
          <w:szCs w:val="24"/>
        </w:rPr>
        <w:t xml:space="preserve">Jika hal tersebut dilakukan </w:t>
      </w:r>
      <w:r w:rsidR="005B263D">
        <w:rPr>
          <w:rFonts w:ascii="Times New Roman" w:hAnsi="Times New Roman" w:cs="Times New Roman"/>
          <w:sz w:val="24"/>
          <w:szCs w:val="24"/>
        </w:rPr>
        <w:t>berulang setiap minggu</w:t>
      </w:r>
      <w:r w:rsidR="00DE1FC4" w:rsidRPr="00DE1FC4">
        <w:rPr>
          <w:rFonts w:ascii="Times New Roman" w:hAnsi="Times New Roman" w:cs="Times New Roman"/>
          <w:sz w:val="24"/>
          <w:szCs w:val="24"/>
        </w:rPr>
        <w:t xml:space="preserve">, maka </w:t>
      </w:r>
      <w:r w:rsidR="005B263D">
        <w:rPr>
          <w:rFonts w:ascii="Times New Roman" w:hAnsi="Times New Roman" w:cs="Times New Roman"/>
          <w:sz w:val="24"/>
          <w:szCs w:val="24"/>
        </w:rPr>
        <w:t>tanpa disadari, ibadah yang dijalani telah terjebak di dalam konsep agamawi, dijalankan sebagai rutinitas belaka dan monoton. Semua gerakan yang terlihat hanya</w:t>
      </w:r>
      <w:r w:rsidR="00DE1FC4" w:rsidRPr="00DE1FC4">
        <w:rPr>
          <w:rFonts w:ascii="Times New Roman" w:hAnsi="Times New Roman" w:cs="Times New Roman"/>
          <w:sz w:val="24"/>
          <w:szCs w:val="24"/>
        </w:rPr>
        <w:t xml:space="preserve"> menjadi </w:t>
      </w:r>
      <w:r w:rsidR="005B263D">
        <w:rPr>
          <w:rFonts w:ascii="Times New Roman" w:hAnsi="Times New Roman" w:cs="Times New Roman"/>
          <w:sz w:val="24"/>
          <w:szCs w:val="24"/>
        </w:rPr>
        <w:t>semacam ritus “haf</w:t>
      </w:r>
      <w:r w:rsidR="00DE1FC4" w:rsidRPr="00DE1FC4">
        <w:rPr>
          <w:rFonts w:ascii="Times New Roman" w:hAnsi="Times New Roman" w:cs="Times New Roman"/>
          <w:sz w:val="24"/>
          <w:szCs w:val="24"/>
        </w:rPr>
        <w:t>alan”.</w:t>
      </w:r>
    </w:p>
    <w:p w14:paraId="1342CB4E" w14:textId="77777777" w:rsidR="00DA6F46" w:rsidRDefault="003619EC"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Menurut Shwartz, ibadah seharusnya membangkitkan inspirasi dan menggelorakan spiritualitas karena hal itu menjadi kesempatan bagi orang Kristen untuk mengalami perjumpaan dengan Tuhan. Itu sebabnya, gereja-gereja yang di dalam ibadahnya berlangsung inspirasional, signifikan dengan pertumbuhan.</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Orang-orang yang ada di dalam ibadah seperti itu memiliki kerinduan untuk mengalami dan menikmati </w:t>
      </w:r>
      <w:r w:rsidR="00DE1FC4" w:rsidRPr="00DE1FC4">
        <w:rPr>
          <w:rFonts w:ascii="Times New Roman" w:hAnsi="Times New Roman" w:cs="Times New Roman"/>
          <w:sz w:val="24"/>
          <w:szCs w:val="24"/>
        </w:rPr>
        <w:t xml:space="preserve">hadirat Tuhan secara lebih mendalam. Penelitian yang dilakukan oleh Bilangan Research Center </w:t>
      </w:r>
      <w:r>
        <w:rPr>
          <w:rFonts w:ascii="Times New Roman" w:hAnsi="Times New Roman" w:cs="Times New Roman"/>
          <w:sz w:val="24"/>
          <w:szCs w:val="24"/>
        </w:rPr>
        <w:t>terhadap kaum muda menyajikan fakta menarik. P</w:t>
      </w:r>
      <w:r w:rsidR="00DE1FC4" w:rsidRPr="00DE1FC4">
        <w:rPr>
          <w:rFonts w:ascii="Times New Roman" w:hAnsi="Times New Roman" w:cs="Times New Roman"/>
          <w:sz w:val="24"/>
          <w:szCs w:val="24"/>
        </w:rPr>
        <w:t xml:space="preserve">enyebab kaum muda meninggalkan ibadah, lebih dari 50% nya adalah karena </w:t>
      </w:r>
      <w:r>
        <w:rPr>
          <w:rFonts w:ascii="Times New Roman" w:hAnsi="Times New Roman" w:cs="Times New Roman"/>
          <w:sz w:val="24"/>
          <w:szCs w:val="24"/>
        </w:rPr>
        <w:t xml:space="preserve">gereja menyajikan </w:t>
      </w:r>
      <w:r w:rsidR="00DA6F46">
        <w:rPr>
          <w:rFonts w:ascii="Times New Roman" w:hAnsi="Times New Roman" w:cs="Times New Roman"/>
          <w:sz w:val="24"/>
          <w:szCs w:val="24"/>
        </w:rPr>
        <w:t xml:space="preserve">dan menampilkan </w:t>
      </w:r>
      <w:r w:rsidR="00DE1FC4" w:rsidRPr="00DE1FC4">
        <w:rPr>
          <w:rFonts w:ascii="Times New Roman" w:hAnsi="Times New Roman" w:cs="Times New Roman"/>
          <w:sz w:val="24"/>
          <w:szCs w:val="24"/>
        </w:rPr>
        <w:t xml:space="preserve">ibadah yang </w:t>
      </w:r>
      <w:r>
        <w:rPr>
          <w:rFonts w:ascii="Times New Roman" w:hAnsi="Times New Roman" w:cs="Times New Roman"/>
          <w:sz w:val="24"/>
          <w:szCs w:val="24"/>
        </w:rPr>
        <w:t>dianggap tidak menarik dan monoton</w:t>
      </w:r>
      <w:r w:rsidR="00DA6F46">
        <w:rPr>
          <w:rFonts w:ascii="Times New Roman" w:hAnsi="Times New Roman" w:cs="Times New Roman"/>
          <w:sz w:val="24"/>
          <w:szCs w:val="24"/>
        </w:rPr>
        <w:t>.</w:t>
      </w:r>
      <w:r w:rsidR="00DE1FC4" w:rsidRPr="00DE1FC4">
        <w:rPr>
          <w:rStyle w:val="FootnoteReference"/>
          <w:rFonts w:ascii="Times New Roman" w:hAnsi="Times New Roman" w:cs="Times New Roman"/>
          <w:sz w:val="24"/>
          <w:szCs w:val="24"/>
        </w:rPr>
        <w:footnoteReference w:id="2"/>
      </w:r>
      <w:r w:rsidR="00DE1FC4" w:rsidRPr="00DE1FC4">
        <w:rPr>
          <w:rFonts w:ascii="Times New Roman" w:hAnsi="Times New Roman" w:cs="Times New Roman"/>
          <w:sz w:val="24"/>
          <w:szCs w:val="24"/>
        </w:rPr>
        <w:t xml:space="preserve"> </w:t>
      </w:r>
      <w:r w:rsidR="00DA6F46">
        <w:rPr>
          <w:rFonts w:ascii="Times New Roman" w:hAnsi="Times New Roman" w:cs="Times New Roman"/>
          <w:sz w:val="24"/>
          <w:szCs w:val="24"/>
        </w:rPr>
        <w:t xml:space="preserve">Tata cara </w:t>
      </w:r>
      <w:r w:rsidR="00DE1FC4" w:rsidRPr="00DE1FC4">
        <w:rPr>
          <w:rFonts w:ascii="Times New Roman" w:hAnsi="Times New Roman" w:cs="Times New Roman"/>
          <w:sz w:val="24"/>
          <w:szCs w:val="24"/>
        </w:rPr>
        <w:t>ibadah yang ada</w:t>
      </w:r>
      <w:r w:rsidR="00DA6F46">
        <w:rPr>
          <w:rFonts w:ascii="Times New Roman" w:hAnsi="Times New Roman" w:cs="Times New Roman"/>
          <w:sz w:val="24"/>
          <w:szCs w:val="24"/>
        </w:rPr>
        <w:t>,</w:t>
      </w:r>
      <w:r w:rsidR="00DE1FC4" w:rsidRPr="00DE1FC4">
        <w:rPr>
          <w:rFonts w:ascii="Times New Roman" w:hAnsi="Times New Roman" w:cs="Times New Roman"/>
          <w:sz w:val="24"/>
          <w:szCs w:val="24"/>
        </w:rPr>
        <w:t xml:space="preserve"> dinilai membosankan</w:t>
      </w:r>
      <w:r w:rsidR="00DA6F46">
        <w:rPr>
          <w:rFonts w:ascii="Times New Roman" w:hAnsi="Times New Roman" w:cs="Times New Roman"/>
          <w:sz w:val="24"/>
          <w:szCs w:val="24"/>
        </w:rPr>
        <w:t xml:space="preserve"> dan kaku</w:t>
      </w:r>
      <w:r w:rsidR="00DE1FC4" w:rsidRPr="00DE1FC4">
        <w:rPr>
          <w:rFonts w:ascii="Times New Roman" w:hAnsi="Times New Roman" w:cs="Times New Roman"/>
          <w:sz w:val="24"/>
          <w:szCs w:val="24"/>
        </w:rPr>
        <w:t xml:space="preserve">. </w:t>
      </w:r>
    </w:p>
    <w:p w14:paraId="6368B67C" w14:textId="4C7FEE44" w:rsidR="00DE1FC4" w:rsidRDefault="00DE1FC4" w:rsidP="00F57C68">
      <w:pPr>
        <w:spacing w:after="0" w:line="288" w:lineRule="auto"/>
        <w:ind w:firstLine="567"/>
        <w:jc w:val="both"/>
        <w:rPr>
          <w:rFonts w:ascii="Times New Roman" w:hAnsi="Times New Roman" w:cs="Times New Roman"/>
          <w:sz w:val="24"/>
          <w:szCs w:val="24"/>
        </w:rPr>
      </w:pPr>
      <w:r w:rsidRPr="00DE1FC4">
        <w:rPr>
          <w:rFonts w:ascii="Times New Roman" w:hAnsi="Times New Roman" w:cs="Times New Roman"/>
          <w:sz w:val="24"/>
          <w:szCs w:val="24"/>
        </w:rPr>
        <w:t>Meski</w:t>
      </w:r>
      <w:r w:rsidR="00DA6F46">
        <w:rPr>
          <w:rFonts w:ascii="Times New Roman" w:hAnsi="Times New Roman" w:cs="Times New Roman"/>
          <w:sz w:val="24"/>
          <w:szCs w:val="24"/>
        </w:rPr>
        <w:t xml:space="preserve">pun membuat ibadah lebih menarik dan ekspresif, teologi gereja mengenai gerakan tubuh di dalam </w:t>
      </w:r>
      <w:r w:rsidRPr="00DE1FC4">
        <w:rPr>
          <w:rFonts w:ascii="Times New Roman" w:hAnsi="Times New Roman" w:cs="Times New Roman"/>
          <w:sz w:val="24"/>
          <w:szCs w:val="24"/>
        </w:rPr>
        <w:t xml:space="preserve"> </w:t>
      </w:r>
      <w:r w:rsidR="00DA6F46">
        <w:rPr>
          <w:rFonts w:ascii="Times New Roman" w:hAnsi="Times New Roman" w:cs="Times New Roman"/>
          <w:sz w:val="24"/>
          <w:szCs w:val="24"/>
        </w:rPr>
        <w:t>ibadah masih terpolarisasi. Dua kutub yang saling berhadapan adalah kalangan gereja tradisional mainstream yang kental dengan ortodoksi dan kalangan pentakostal-karismatik. Maisng-maisng pihak memiliki klaim dogmatis yang membela cara beribadah di dalam gereja. Kenyataan ini memunculkan</w:t>
      </w:r>
      <w:r w:rsidRPr="00DE1FC4">
        <w:rPr>
          <w:rFonts w:ascii="Times New Roman" w:hAnsi="Times New Roman" w:cs="Times New Roman"/>
          <w:sz w:val="24"/>
          <w:szCs w:val="24"/>
        </w:rPr>
        <w:t xml:space="preserve"> sikap kebingungan dan keraguan di kalangan </w:t>
      </w:r>
      <w:r w:rsidR="00DA6F46">
        <w:rPr>
          <w:rFonts w:ascii="Times New Roman" w:hAnsi="Times New Roman" w:cs="Times New Roman"/>
          <w:sz w:val="24"/>
          <w:szCs w:val="24"/>
        </w:rPr>
        <w:t>jemaat mengenai pandangan biblikal dan teologis g</w:t>
      </w:r>
      <w:r w:rsidRPr="00DE1FC4">
        <w:rPr>
          <w:rFonts w:ascii="Times New Roman" w:hAnsi="Times New Roman" w:cs="Times New Roman"/>
          <w:sz w:val="24"/>
          <w:szCs w:val="24"/>
        </w:rPr>
        <w:t xml:space="preserve">erakan tubuh dalam </w:t>
      </w:r>
      <w:r w:rsidR="00DA6F46">
        <w:rPr>
          <w:rFonts w:ascii="Times New Roman" w:hAnsi="Times New Roman" w:cs="Times New Roman"/>
          <w:sz w:val="24"/>
          <w:szCs w:val="24"/>
        </w:rPr>
        <w:t>pujian-</w:t>
      </w:r>
      <w:r w:rsidRPr="00DE1FC4">
        <w:rPr>
          <w:rFonts w:ascii="Times New Roman" w:hAnsi="Times New Roman" w:cs="Times New Roman"/>
          <w:sz w:val="24"/>
          <w:szCs w:val="24"/>
        </w:rPr>
        <w:t>penyembahan.</w:t>
      </w:r>
      <w:r w:rsidRPr="00DE1FC4">
        <w:rPr>
          <w:rStyle w:val="FootnoteReference"/>
          <w:rFonts w:ascii="Times New Roman" w:hAnsi="Times New Roman" w:cs="Times New Roman"/>
          <w:sz w:val="24"/>
          <w:szCs w:val="24"/>
        </w:rPr>
        <w:footnoteReference w:id="3"/>
      </w:r>
      <w:r w:rsidRPr="00DE1FC4">
        <w:rPr>
          <w:rFonts w:ascii="Times New Roman" w:hAnsi="Times New Roman" w:cs="Times New Roman"/>
          <w:sz w:val="24"/>
          <w:szCs w:val="24"/>
        </w:rPr>
        <w:t xml:space="preserve"> </w:t>
      </w:r>
      <w:r w:rsidR="00DA6F46">
        <w:rPr>
          <w:rFonts w:ascii="Times New Roman" w:hAnsi="Times New Roman" w:cs="Times New Roman"/>
          <w:sz w:val="24"/>
          <w:szCs w:val="24"/>
        </w:rPr>
        <w:t xml:space="preserve">Di kalangan mainstream kristiani, penolakan terhadap </w:t>
      </w:r>
      <w:r w:rsidRPr="00DE1FC4">
        <w:rPr>
          <w:rFonts w:ascii="Times New Roman" w:hAnsi="Times New Roman" w:cs="Times New Roman"/>
          <w:sz w:val="24"/>
          <w:szCs w:val="24"/>
        </w:rPr>
        <w:t xml:space="preserve">gerak tubuh tertentu, terutama gerakan ekspresif seperti meloncat-loncat dan menari-nari, </w:t>
      </w:r>
      <w:r w:rsidR="00DA6F46">
        <w:rPr>
          <w:rFonts w:ascii="Times New Roman" w:hAnsi="Times New Roman" w:cs="Times New Roman"/>
          <w:sz w:val="24"/>
          <w:szCs w:val="24"/>
        </w:rPr>
        <w:t>ditolak karena dianggap terlalu condong ke aliran</w:t>
      </w:r>
      <w:r w:rsidRPr="00DE1FC4">
        <w:rPr>
          <w:rFonts w:ascii="Times New Roman" w:hAnsi="Times New Roman" w:cs="Times New Roman"/>
          <w:sz w:val="24"/>
          <w:szCs w:val="24"/>
        </w:rPr>
        <w:t xml:space="preserve"> “karismatik”. </w:t>
      </w:r>
      <w:r w:rsidR="00DA6F46">
        <w:rPr>
          <w:rFonts w:ascii="Times New Roman" w:hAnsi="Times New Roman" w:cs="Times New Roman"/>
          <w:sz w:val="24"/>
          <w:szCs w:val="24"/>
        </w:rPr>
        <w:t xml:space="preserve">Sementara itu, gereja-gereja beraliran kharismatik memandang </w:t>
      </w:r>
      <w:r w:rsidR="00867119">
        <w:rPr>
          <w:rFonts w:ascii="Times New Roman" w:hAnsi="Times New Roman" w:cs="Times New Roman"/>
          <w:sz w:val="24"/>
          <w:szCs w:val="24"/>
        </w:rPr>
        <w:t xml:space="preserve">gereja mainstream telah terjebak ritual, dan monoton. Akibatnya, pemahaman jemaat terbentuk bukan karena kesadaran teologis tetapi lebih condong pada opini subjektif yang membenarkan pandangannya sendiri dan disaat yang sama menolak pandangan orang </w:t>
      </w:r>
      <w:r w:rsidR="00867119">
        <w:rPr>
          <w:rFonts w:ascii="Times New Roman" w:hAnsi="Times New Roman" w:cs="Times New Roman"/>
          <w:sz w:val="24"/>
          <w:szCs w:val="24"/>
        </w:rPr>
        <w:lastRenderedPageBreak/>
        <w:t xml:space="preserve">lain. Dengan kata lain </w:t>
      </w:r>
      <w:r w:rsidRPr="00DE1FC4">
        <w:rPr>
          <w:rFonts w:ascii="Times New Roman" w:hAnsi="Times New Roman" w:cs="Times New Roman"/>
          <w:sz w:val="24"/>
          <w:szCs w:val="24"/>
        </w:rPr>
        <w:t xml:space="preserve">pemahaman teologis </w:t>
      </w:r>
      <w:r w:rsidR="00867119">
        <w:rPr>
          <w:rFonts w:ascii="Times New Roman" w:hAnsi="Times New Roman" w:cs="Times New Roman"/>
          <w:sz w:val="24"/>
          <w:szCs w:val="24"/>
        </w:rPr>
        <w:t xml:space="preserve">jemaat </w:t>
      </w:r>
      <w:r w:rsidRPr="00DE1FC4">
        <w:rPr>
          <w:rFonts w:ascii="Times New Roman" w:hAnsi="Times New Roman" w:cs="Times New Roman"/>
          <w:sz w:val="24"/>
          <w:szCs w:val="24"/>
        </w:rPr>
        <w:t xml:space="preserve">mengenai </w:t>
      </w:r>
      <w:r w:rsidR="00867119">
        <w:rPr>
          <w:rFonts w:ascii="Times New Roman" w:hAnsi="Times New Roman" w:cs="Times New Roman"/>
          <w:sz w:val="24"/>
          <w:szCs w:val="24"/>
        </w:rPr>
        <w:t xml:space="preserve">peranan </w:t>
      </w:r>
      <w:r w:rsidRPr="00DE1FC4">
        <w:rPr>
          <w:rFonts w:ascii="Times New Roman" w:hAnsi="Times New Roman" w:cs="Times New Roman"/>
          <w:sz w:val="24"/>
          <w:szCs w:val="24"/>
        </w:rPr>
        <w:t>gestur tubuh dalam penyembahan</w:t>
      </w:r>
      <w:r w:rsidR="00867119">
        <w:rPr>
          <w:rFonts w:ascii="Times New Roman" w:hAnsi="Times New Roman" w:cs="Times New Roman"/>
          <w:sz w:val="24"/>
          <w:szCs w:val="24"/>
        </w:rPr>
        <w:t xml:space="preserve"> menjadi hal yang sangat signifikan untuk meredam legitimasi doktrinal sepihak mengenai pujian-penyembahan</w:t>
      </w:r>
      <w:r w:rsidRPr="00DE1FC4">
        <w:rPr>
          <w:rFonts w:ascii="Times New Roman" w:hAnsi="Times New Roman" w:cs="Times New Roman"/>
          <w:sz w:val="24"/>
          <w:szCs w:val="24"/>
        </w:rPr>
        <w:t xml:space="preserve">. </w:t>
      </w:r>
    </w:p>
    <w:p w14:paraId="62E47992" w14:textId="2E395F05" w:rsidR="00867119" w:rsidRDefault="00867119"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Paper ini bertujuan untuk menggali kebenaran teologis dari hadirnya gestur tubuh di dalam ibadah kristiani dengan berpijak pada pengalaman Daud saat membawa tabut perjanjian dari rumah Obed Edom ke kota Daud di Yerusalem. </w:t>
      </w:r>
    </w:p>
    <w:p w14:paraId="6DC4FA72" w14:textId="77777777" w:rsidR="00867119" w:rsidRPr="00DE1FC4" w:rsidRDefault="00867119" w:rsidP="00F57C68">
      <w:pPr>
        <w:spacing w:after="0" w:line="288" w:lineRule="auto"/>
        <w:ind w:firstLine="567"/>
        <w:jc w:val="both"/>
        <w:rPr>
          <w:rFonts w:ascii="Times New Roman" w:hAnsi="Times New Roman" w:cs="Times New Roman"/>
          <w:sz w:val="24"/>
          <w:szCs w:val="24"/>
          <w:lang w:val="id-ID"/>
        </w:rPr>
      </w:pPr>
    </w:p>
    <w:p w14:paraId="0F0EE2EE" w14:textId="79B2A5DE" w:rsidR="006915EE" w:rsidRPr="00843EB2" w:rsidRDefault="004674B3" w:rsidP="00F57C68">
      <w:pPr>
        <w:spacing w:after="0" w:line="288" w:lineRule="auto"/>
        <w:jc w:val="both"/>
        <w:rPr>
          <w:rFonts w:ascii="Times New Roman" w:hAnsi="Times New Roman" w:cs="Times New Roman"/>
          <w:b/>
          <w:sz w:val="24"/>
          <w:szCs w:val="24"/>
          <w:lang w:val="id-ID"/>
        </w:rPr>
      </w:pPr>
      <w:r w:rsidRPr="00843EB2">
        <w:rPr>
          <w:rFonts w:ascii="Times New Roman" w:hAnsi="Times New Roman" w:cs="Times New Roman"/>
          <w:b/>
          <w:sz w:val="24"/>
          <w:szCs w:val="24"/>
        </w:rPr>
        <w:t>Metode</w:t>
      </w:r>
      <w:r w:rsidR="00F42FB8" w:rsidRPr="00843EB2">
        <w:rPr>
          <w:rFonts w:ascii="Times New Roman" w:hAnsi="Times New Roman" w:cs="Times New Roman"/>
          <w:b/>
          <w:sz w:val="24"/>
          <w:szCs w:val="24"/>
        </w:rPr>
        <w:t xml:space="preserve"> Penelitian</w:t>
      </w:r>
    </w:p>
    <w:p w14:paraId="55921F85" w14:textId="5F3C6248" w:rsidR="00DE1FC4" w:rsidRPr="00DE1FC4" w:rsidRDefault="00DE1FC4" w:rsidP="00F57C68">
      <w:pPr>
        <w:spacing w:after="0" w:line="288" w:lineRule="auto"/>
        <w:ind w:firstLine="567"/>
        <w:jc w:val="both"/>
        <w:rPr>
          <w:rFonts w:ascii="Times New Roman" w:hAnsi="Times New Roman" w:cs="Times New Roman"/>
          <w:sz w:val="24"/>
          <w:szCs w:val="24"/>
        </w:rPr>
      </w:pPr>
      <w:r w:rsidRPr="00DE1FC4">
        <w:rPr>
          <w:rFonts w:ascii="Times New Roman" w:hAnsi="Times New Roman" w:cs="Times New Roman"/>
          <w:sz w:val="24"/>
          <w:szCs w:val="24"/>
        </w:rPr>
        <w:t>Penelitian dalam makalah ini meng</w:t>
      </w:r>
      <w:r w:rsidR="00672365">
        <w:rPr>
          <w:rFonts w:ascii="Times New Roman" w:hAnsi="Times New Roman" w:cs="Times New Roman"/>
          <w:sz w:val="24"/>
          <w:szCs w:val="24"/>
        </w:rPr>
        <w:t>gunakan metode kajian literatur.</w:t>
      </w:r>
      <w:r w:rsidR="00672365">
        <w:rPr>
          <w:rStyle w:val="FootnoteReference"/>
          <w:rFonts w:ascii="Times New Roman" w:hAnsi="Times New Roman" w:cs="Times New Roman"/>
          <w:sz w:val="24"/>
          <w:szCs w:val="24"/>
        </w:rPr>
        <w:footnoteReference w:id="4"/>
      </w:r>
      <w:r w:rsidR="00672365">
        <w:rPr>
          <w:rFonts w:ascii="Times New Roman" w:hAnsi="Times New Roman" w:cs="Times New Roman"/>
          <w:sz w:val="24"/>
          <w:szCs w:val="24"/>
        </w:rPr>
        <w:t xml:space="preserve"> </w:t>
      </w:r>
      <w:r w:rsidR="00C35E78">
        <w:rPr>
          <w:rFonts w:ascii="Times New Roman" w:hAnsi="Times New Roman" w:cs="Times New Roman"/>
          <w:sz w:val="24"/>
          <w:szCs w:val="24"/>
        </w:rPr>
        <w:t xml:space="preserve">Untuk melaksanakannya, dilakukan </w:t>
      </w:r>
      <w:r w:rsidRPr="00DE1FC4">
        <w:rPr>
          <w:rFonts w:ascii="Times New Roman" w:hAnsi="Times New Roman" w:cs="Times New Roman"/>
          <w:sz w:val="24"/>
          <w:szCs w:val="24"/>
        </w:rPr>
        <w:t>studi pendahuluan (</w:t>
      </w:r>
      <w:r w:rsidRPr="00DE1FC4">
        <w:rPr>
          <w:rFonts w:ascii="Times New Roman" w:hAnsi="Times New Roman" w:cs="Times New Roman"/>
          <w:i/>
          <w:sz w:val="24"/>
          <w:szCs w:val="24"/>
        </w:rPr>
        <w:t>preliminary research</w:t>
      </w:r>
      <w:r w:rsidRPr="00DE1FC4">
        <w:rPr>
          <w:rFonts w:ascii="Times New Roman" w:hAnsi="Times New Roman" w:cs="Times New Roman"/>
          <w:sz w:val="24"/>
          <w:szCs w:val="24"/>
        </w:rPr>
        <w:t>) agar peneliti dapat menemukan dan memahami lebih jauh mengenai topik yang sedang diteliti.</w:t>
      </w:r>
      <w:r w:rsidRPr="00DE1FC4">
        <w:rPr>
          <w:rStyle w:val="FootnoteReference"/>
          <w:rFonts w:ascii="Times New Roman" w:hAnsi="Times New Roman" w:cs="Times New Roman"/>
          <w:sz w:val="24"/>
          <w:szCs w:val="24"/>
        </w:rPr>
        <w:footnoteReference w:id="5"/>
      </w:r>
      <w:r w:rsidRPr="00DE1FC4">
        <w:rPr>
          <w:rFonts w:ascii="Times New Roman" w:hAnsi="Times New Roman" w:cs="Times New Roman"/>
          <w:sz w:val="24"/>
          <w:szCs w:val="24"/>
        </w:rPr>
        <w:t xml:space="preserve"> </w:t>
      </w:r>
      <w:r w:rsidR="00672365">
        <w:rPr>
          <w:rFonts w:ascii="Times New Roman" w:hAnsi="Times New Roman" w:cs="Times New Roman"/>
          <w:sz w:val="24"/>
          <w:szCs w:val="24"/>
        </w:rPr>
        <w:t>Analisis difokuskan pada studi teologis terhadap</w:t>
      </w:r>
      <w:r w:rsidRPr="00DE1FC4">
        <w:rPr>
          <w:rFonts w:ascii="Times New Roman" w:hAnsi="Times New Roman" w:cs="Times New Roman"/>
          <w:sz w:val="24"/>
          <w:szCs w:val="24"/>
        </w:rPr>
        <w:t xml:space="preserve"> </w:t>
      </w:r>
      <w:r w:rsidR="007772FA">
        <w:rPr>
          <w:rFonts w:ascii="Times New Roman" w:hAnsi="Times New Roman" w:cs="Times New Roman"/>
          <w:sz w:val="24"/>
          <w:szCs w:val="24"/>
        </w:rPr>
        <w:t xml:space="preserve">makna </w:t>
      </w:r>
      <w:r w:rsidRPr="00DE1FC4">
        <w:rPr>
          <w:rFonts w:ascii="Times New Roman" w:hAnsi="Times New Roman" w:cs="Times New Roman"/>
          <w:sz w:val="24"/>
          <w:szCs w:val="24"/>
        </w:rPr>
        <w:t>tarian dalam Perjanjian lama</w:t>
      </w:r>
      <w:r w:rsidR="00672365">
        <w:rPr>
          <w:rFonts w:ascii="Times New Roman" w:hAnsi="Times New Roman" w:cs="Times New Roman"/>
          <w:sz w:val="24"/>
          <w:szCs w:val="24"/>
        </w:rPr>
        <w:t xml:space="preserve"> untuk mendapatkan pemahaman Alkitabiah mengenai gestur tubuh dalam penyembahan kepada Tuhan. Beberapa bagian dari ayat kunci Alkitab dianalisis secara eksegetikal</w:t>
      </w:r>
      <w:r w:rsidR="007772FA">
        <w:rPr>
          <w:rFonts w:ascii="Times New Roman" w:hAnsi="Times New Roman" w:cs="Times New Roman"/>
          <w:sz w:val="24"/>
          <w:szCs w:val="24"/>
        </w:rPr>
        <w:t xml:space="preserve">. Seluruh data ini selanjutnya menjadi bahan kajian </w:t>
      </w:r>
      <w:r w:rsidRPr="00DE1FC4">
        <w:rPr>
          <w:rFonts w:ascii="Times New Roman" w:hAnsi="Times New Roman" w:cs="Times New Roman"/>
          <w:sz w:val="24"/>
          <w:szCs w:val="24"/>
        </w:rPr>
        <w:t xml:space="preserve">untuk </w:t>
      </w:r>
      <w:r w:rsidR="007772FA">
        <w:rPr>
          <w:rFonts w:ascii="Times New Roman" w:hAnsi="Times New Roman" w:cs="Times New Roman"/>
          <w:sz w:val="24"/>
          <w:szCs w:val="24"/>
        </w:rPr>
        <w:t xml:space="preserve">mengkonstruksi teologi bahasa tubuh </w:t>
      </w:r>
      <w:r w:rsidRPr="00DE1FC4">
        <w:rPr>
          <w:rFonts w:ascii="Times New Roman" w:hAnsi="Times New Roman" w:cs="Times New Roman"/>
          <w:sz w:val="24"/>
          <w:szCs w:val="24"/>
        </w:rPr>
        <w:t xml:space="preserve">dalam ibadah Kristiani. </w:t>
      </w:r>
      <w:r w:rsidR="007772FA">
        <w:rPr>
          <w:rFonts w:ascii="Times New Roman" w:hAnsi="Times New Roman" w:cs="Times New Roman"/>
          <w:sz w:val="24"/>
          <w:szCs w:val="24"/>
        </w:rPr>
        <w:t xml:space="preserve">Pembahasan </w:t>
      </w:r>
      <w:r w:rsidRPr="00DE1FC4">
        <w:rPr>
          <w:rFonts w:ascii="Times New Roman" w:hAnsi="Times New Roman" w:cs="Times New Roman"/>
          <w:sz w:val="24"/>
          <w:szCs w:val="24"/>
        </w:rPr>
        <w:t xml:space="preserve">diuraikan secara deskriptif </w:t>
      </w:r>
      <w:r w:rsidR="007772FA">
        <w:rPr>
          <w:rFonts w:ascii="Times New Roman" w:hAnsi="Times New Roman" w:cs="Times New Roman"/>
          <w:sz w:val="24"/>
          <w:szCs w:val="24"/>
        </w:rPr>
        <w:t>argumentatif dengan pendekatan critical analysis.</w:t>
      </w:r>
      <w:r w:rsidR="007772FA">
        <w:rPr>
          <w:rStyle w:val="FootnoteReference"/>
          <w:rFonts w:ascii="Times New Roman" w:hAnsi="Times New Roman" w:cs="Times New Roman"/>
          <w:sz w:val="24"/>
          <w:szCs w:val="24"/>
        </w:rPr>
        <w:footnoteReference w:id="6"/>
      </w:r>
    </w:p>
    <w:p w14:paraId="66013F29" w14:textId="77777777" w:rsidR="00C354F9" w:rsidRPr="00843EB2" w:rsidRDefault="00C354F9" w:rsidP="00F57C68">
      <w:pPr>
        <w:spacing w:after="0" w:line="288" w:lineRule="auto"/>
        <w:rPr>
          <w:rFonts w:ascii="Times New Roman" w:hAnsi="Times New Roman" w:cs="Times New Roman"/>
          <w:sz w:val="24"/>
          <w:szCs w:val="24"/>
        </w:rPr>
      </w:pPr>
    </w:p>
    <w:p w14:paraId="79F7C128" w14:textId="4A04C80D" w:rsidR="001B5726" w:rsidRDefault="00F42FB8" w:rsidP="00F57C68">
      <w:pPr>
        <w:spacing w:after="0" w:line="288" w:lineRule="auto"/>
        <w:rPr>
          <w:rFonts w:ascii="Times New Roman" w:hAnsi="Times New Roman" w:cs="Times New Roman"/>
          <w:b/>
          <w:sz w:val="24"/>
          <w:szCs w:val="24"/>
        </w:rPr>
      </w:pPr>
      <w:r w:rsidRPr="00843EB2">
        <w:rPr>
          <w:rFonts w:ascii="Times New Roman" w:hAnsi="Times New Roman" w:cs="Times New Roman"/>
          <w:b/>
          <w:sz w:val="24"/>
          <w:szCs w:val="24"/>
        </w:rPr>
        <w:t>Pembahasan</w:t>
      </w:r>
    </w:p>
    <w:p w14:paraId="0CF3E87F" w14:textId="7E712CC1" w:rsidR="00A776D2" w:rsidRDefault="00A776D2" w:rsidP="00F57C68">
      <w:pPr>
        <w:spacing w:after="0" w:line="288" w:lineRule="auto"/>
        <w:rPr>
          <w:rFonts w:ascii="Times New Roman" w:hAnsi="Times New Roman" w:cs="Times New Roman"/>
          <w:b/>
          <w:i/>
          <w:sz w:val="24"/>
          <w:szCs w:val="24"/>
        </w:rPr>
      </w:pPr>
      <w:r>
        <w:rPr>
          <w:rFonts w:ascii="Times New Roman" w:hAnsi="Times New Roman" w:cs="Times New Roman"/>
          <w:b/>
          <w:i/>
          <w:sz w:val="24"/>
          <w:szCs w:val="24"/>
        </w:rPr>
        <w:t>Bingkai Teologis</w:t>
      </w:r>
    </w:p>
    <w:p w14:paraId="36AFE751" w14:textId="14B1CECE" w:rsidR="00A776D2" w:rsidRDefault="00A776D2"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Kisah Daud menari memiliki </w:t>
      </w:r>
      <w:r w:rsidRPr="002B039C">
        <w:rPr>
          <w:rFonts w:ascii="Times New Roman" w:hAnsi="Times New Roman" w:cs="Times New Roman"/>
          <w:i/>
          <w:sz w:val="24"/>
          <w:szCs w:val="24"/>
        </w:rPr>
        <w:t>setting</w:t>
      </w:r>
      <w:r>
        <w:rPr>
          <w:rFonts w:ascii="Times New Roman" w:hAnsi="Times New Roman" w:cs="Times New Roman"/>
          <w:sz w:val="24"/>
          <w:szCs w:val="24"/>
        </w:rPr>
        <w:t xml:space="preserve"> masa kekuasaan Daud sebagai penguasa monarkhi kedua Israel bersatu. </w:t>
      </w:r>
      <w:r w:rsidRPr="00CC7BA7">
        <w:rPr>
          <w:rFonts w:ascii="Times New Roman" w:hAnsi="Times New Roman" w:cs="Times New Roman"/>
          <w:sz w:val="24"/>
          <w:szCs w:val="24"/>
        </w:rPr>
        <w:t xml:space="preserve">Tabut Perjanjian </w:t>
      </w:r>
      <w:r>
        <w:rPr>
          <w:rFonts w:ascii="Times New Roman" w:hAnsi="Times New Roman" w:cs="Times New Roman"/>
          <w:sz w:val="24"/>
          <w:szCs w:val="24"/>
        </w:rPr>
        <w:t xml:space="preserve">sebagai lambang kehadiran Tuhan pernah disita oleh </w:t>
      </w:r>
      <w:r w:rsidRPr="00CC7BA7">
        <w:rPr>
          <w:rFonts w:ascii="Times New Roman" w:hAnsi="Times New Roman" w:cs="Times New Roman"/>
          <w:sz w:val="24"/>
          <w:szCs w:val="24"/>
        </w:rPr>
        <w:t xml:space="preserve">bangsa Filistin </w:t>
      </w:r>
      <w:r>
        <w:rPr>
          <w:rFonts w:ascii="Times New Roman" w:hAnsi="Times New Roman" w:cs="Times New Roman"/>
          <w:sz w:val="24"/>
          <w:szCs w:val="24"/>
        </w:rPr>
        <w:t>akibat ketelodoran orang Israel sendiri (1</w:t>
      </w:r>
      <w:r w:rsidRPr="00CC7BA7">
        <w:rPr>
          <w:rFonts w:ascii="Times New Roman" w:hAnsi="Times New Roman" w:cs="Times New Roman"/>
          <w:sz w:val="24"/>
          <w:szCs w:val="24"/>
        </w:rPr>
        <w:t>Sam 5:1-4)</w:t>
      </w:r>
      <w:r>
        <w:rPr>
          <w:rFonts w:ascii="Times New Roman" w:hAnsi="Times New Roman" w:cs="Times New Roman"/>
          <w:sz w:val="24"/>
          <w:szCs w:val="24"/>
        </w:rPr>
        <w:t xml:space="preserve">. Tetapi Tabut tersebut dikembalikan kepada orang Israel karena bangsa Filistin mengalami murka dan penghukuman </w:t>
      </w:r>
      <w:r w:rsidRPr="00CC7BA7">
        <w:rPr>
          <w:rFonts w:ascii="Times New Roman" w:hAnsi="Times New Roman" w:cs="Times New Roman"/>
          <w:sz w:val="24"/>
          <w:szCs w:val="24"/>
        </w:rPr>
        <w:t xml:space="preserve"> </w:t>
      </w:r>
      <w:r>
        <w:rPr>
          <w:rFonts w:ascii="Times New Roman" w:hAnsi="Times New Roman" w:cs="Times New Roman"/>
          <w:sz w:val="24"/>
          <w:szCs w:val="24"/>
        </w:rPr>
        <w:t>Tuhan akibat penyitaan tabut itu. Setelah</w:t>
      </w:r>
      <w:r w:rsidRPr="00CC7BA7">
        <w:rPr>
          <w:rFonts w:ascii="Times New Roman" w:hAnsi="Times New Roman" w:cs="Times New Roman"/>
          <w:sz w:val="24"/>
          <w:szCs w:val="24"/>
        </w:rPr>
        <w:t xml:space="preserve"> sempat </w:t>
      </w:r>
      <w:r>
        <w:rPr>
          <w:rFonts w:ascii="Times New Roman" w:hAnsi="Times New Roman" w:cs="Times New Roman"/>
          <w:sz w:val="24"/>
          <w:szCs w:val="24"/>
        </w:rPr>
        <w:t>dititipkan di rumah</w:t>
      </w:r>
      <w:r w:rsidRPr="00CC7BA7">
        <w:rPr>
          <w:rFonts w:ascii="Times New Roman" w:hAnsi="Times New Roman" w:cs="Times New Roman"/>
          <w:sz w:val="24"/>
          <w:szCs w:val="24"/>
        </w:rPr>
        <w:t xml:space="preserve"> Obed E</w:t>
      </w:r>
      <w:r>
        <w:rPr>
          <w:rFonts w:ascii="Times New Roman" w:hAnsi="Times New Roman" w:cs="Times New Roman"/>
          <w:sz w:val="24"/>
          <w:szCs w:val="24"/>
        </w:rPr>
        <w:t>dom di Gat selama tiga bulan (2</w:t>
      </w:r>
      <w:r w:rsidRPr="00CC7BA7">
        <w:rPr>
          <w:rFonts w:ascii="Times New Roman" w:hAnsi="Times New Roman" w:cs="Times New Roman"/>
          <w:sz w:val="24"/>
          <w:szCs w:val="24"/>
        </w:rPr>
        <w:t xml:space="preserve">Sam 6:10-11), </w:t>
      </w:r>
      <w:r>
        <w:rPr>
          <w:rFonts w:ascii="Times New Roman" w:hAnsi="Times New Roman" w:cs="Times New Roman"/>
          <w:sz w:val="24"/>
          <w:szCs w:val="24"/>
        </w:rPr>
        <w:t>Daud membawa</w:t>
      </w:r>
      <w:r w:rsidRPr="00CC7BA7">
        <w:rPr>
          <w:rFonts w:ascii="Times New Roman" w:hAnsi="Times New Roman" w:cs="Times New Roman"/>
          <w:sz w:val="24"/>
          <w:szCs w:val="24"/>
        </w:rPr>
        <w:t xml:space="preserve">nya ke </w:t>
      </w:r>
      <w:r>
        <w:rPr>
          <w:rFonts w:ascii="Times New Roman" w:hAnsi="Times New Roman" w:cs="Times New Roman"/>
          <w:sz w:val="24"/>
          <w:szCs w:val="24"/>
        </w:rPr>
        <w:t xml:space="preserve">Kota Daud </w:t>
      </w:r>
      <w:r w:rsidRPr="00CC7BA7">
        <w:rPr>
          <w:rFonts w:ascii="Times New Roman" w:hAnsi="Times New Roman" w:cs="Times New Roman"/>
          <w:sz w:val="24"/>
          <w:szCs w:val="24"/>
        </w:rPr>
        <w:t xml:space="preserve">(2 Sam 6:17; 1 Taw 15:1,29). </w:t>
      </w:r>
      <w:r>
        <w:rPr>
          <w:rFonts w:ascii="Times New Roman" w:hAnsi="Times New Roman" w:cs="Times New Roman"/>
          <w:sz w:val="24"/>
          <w:szCs w:val="24"/>
        </w:rPr>
        <w:t xml:space="preserve">Di dekat istananya, tabut tersebut ditempatkan disebuah </w:t>
      </w:r>
      <w:r w:rsidRPr="00CC7BA7">
        <w:rPr>
          <w:rFonts w:ascii="Times New Roman" w:hAnsi="Times New Roman" w:cs="Times New Roman"/>
          <w:sz w:val="24"/>
          <w:szCs w:val="24"/>
        </w:rPr>
        <w:t xml:space="preserve">pondok yang </w:t>
      </w:r>
      <w:r>
        <w:rPr>
          <w:rFonts w:ascii="Times New Roman" w:hAnsi="Times New Roman" w:cs="Times New Roman"/>
          <w:sz w:val="24"/>
          <w:szCs w:val="24"/>
        </w:rPr>
        <w:t xml:space="preserve">dinamakan </w:t>
      </w:r>
      <w:r w:rsidRPr="00CC7BA7">
        <w:rPr>
          <w:rFonts w:ascii="Times New Roman" w:hAnsi="Times New Roman" w:cs="Times New Roman"/>
          <w:sz w:val="24"/>
          <w:szCs w:val="24"/>
        </w:rPr>
        <w:t>“Pondok Daud”</w:t>
      </w:r>
      <w:r>
        <w:rPr>
          <w:rFonts w:ascii="Times New Roman" w:hAnsi="Times New Roman" w:cs="Times New Roman"/>
          <w:sz w:val="24"/>
          <w:szCs w:val="24"/>
        </w:rPr>
        <w:t xml:space="preserve">. Di tempat itulah, segala ritual dan aktifitas penyembahan Israel kepada YHWH berpusat. </w:t>
      </w:r>
    </w:p>
    <w:p w14:paraId="1549F142" w14:textId="0A69B22A" w:rsidR="00A776D2" w:rsidRPr="00CC7BA7" w:rsidRDefault="00A776D2"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Praktik penyembahan dan aktifitas rohani yang berlangsung di Pondok Daud dapat dianggap sebagai cerminan dan representasi kehidupan jemaat kristiani. Di dalam Kisah Para R</w:t>
      </w:r>
      <w:r w:rsidR="00D14FF1">
        <w:rPr>
          <w:rFonts w:ascii="Times New Roman" w:hAnsi="Times New Roman" w:cs="Times New Roman"/>
          <w:sz w:val="24"/>
          <w:szCs w:val="24"/>
        </w:rPr>
        <w:t>a</w:t>
      </w:r>
      <w:r>
        <w:rPr>
          <w:rFonts w:ascii="Times New Roman" w:hAnsi="Times New Roman" w:cs="Times New Roman"/>
          <w:sz w:val="24"/>
          <w:szCs w:val="24"/>
        </w:rPr>
        <w:t>sul 15:16 dikatakan, Yesus “</w:t>
      </w:r>
      <w:r w:rsidRPr="00EE18AC">
        <w:rPr>
          <w:rFonts w:ascii="Times New Roman" w:hAnsi="Times New Roman" w:cs="Times New Roman"/>
          <w:sz w:val="24"/>
          <w:szCs w:val="24"/>
        </w:rPr>
        <w:t>membangunkan kembali pondok Daud yang telah roboh, dan reruntuhannya akan Kubangun kembali dan akan Kuteguhkan</w:t>
      </w:r>
      <w:r>
        <w:rPr>
          <w:rFonts w:ascii="Times New Roman" w:hAnsi="Times New Roman" w:cs="Times New Roman"/>
          <w:sz w:val="24"/>
          <w:szCs w:val="24"/>
        </w:rPr>
        <w:t xml:space="preserve">”. Oleh sebab itu, </w:t>
      </w:r>
      <w:r>
        <w:rPr>
          <w:rFonts w:ascii="Times New Roman" w:hAnsi="Times New Roman" w:cs="Times New Roman"/>
          <w:sz w:val="24"/>
          <w:szCs w:val="24"/>
        </w:rPr>
        <w:lastRenderedPageBreak/>
        <w:t>memparalelkan situasi dan kondisi Pondok Daud dengan kehidupan jemaat dalam konteks kristiani dapat dilakukan. Pusat penyembahan di dalam Pondok Daud adalah YHWH sendiri yang berinkarnasi dalam pribadi Kristus.</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Kesamaan konteks seperti ini menjadi dasar untuk menyimpulkan bahwa apa yang dilakukan Daud dihadapan YHWH dalam rangka memuji dan menyembah-Nya adalah relevan dan signifikan dengan apa yang dilakukan oleh orang Kristen di dalam ibadah-Nya memuji dan menyembah Tuhan di dalam iman kepada Yesus.</w:t>
      </w:r>
    </w:p>
    <w:p w14:paraId="50B93ADB" w14:textId="4253524C" w:rsidR="00A776D2" w:rsidRPr="00CC7BA7" w:rsidRDefault="00291329"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Di dalam menjalankan tata ibadah di Pondok-Nya, Daud menghadirkan</w:t>
      </w:r>
      <w:r w:rsidR="00A776D2" w:rsidRPr="00CC7BA7">
        <w:rPr>
          <w:rFonts w:ascii="Times New Roman" w:hAnsi="Times New Roman" w:cs="Times New Roman"/>
          <w:sz w:val="24"/>
          <w:szCs w:val="24"/>
        </w:rPr>
        <w:t xml:space="preserve"> para penyanyi yang memperdengarkan lagu-lagu </w:t>
      </w:r>
      <w:r>
        <w:rPr>
          <w:rFonts w:ascii="Times New Roman" w:hAnsi="Times New Roman" w:cs="Times New Roman"/>
          <w:sz w:val="24"/>
          <w:szCs w:val="24"/>
        </w:rPr>
        <w:t xml:space="preserve">pujian dengan </w:t>
      </w:r>
      <w:r w:rsidR="00A776D2" w:rsidRPr="00CC7BA7">
        <w:rPr>
          <w:rFonts w:ascii="Times New Roman" w:hAnsi="Times New Roman" w:cs="Times New Roman"/>
          <w:sz w:val="24"/>
          <w:szCs w:val="24"/>
        </w:rPr>
        <w:t xml:space="preserve">gembira </w:t>
      </w:r>
      <w:r>
        <w:rPr>
          <w:rFonts w:ascii="Times New Roman" w:hAnsi="Times New Roman" w:cs="Times New Roman"/>
          <w:sz w:val="24"/>
          <w:szCs w:val="24"/>
        </w:rPr>
        <w:t xml:space="preserve">dan suara </w:t>
      </w:r>
      <w:r w:rsidR="00A776D2" w:rsidRPr="00CC7BA7">
        <w:rPr>
          <w:rFonts w:ascii="Times New Roman" w:hAnsi="Times New Roman" w:cs="Times New Roman"/>
          <w:sz w:val="24"/>
          <w:szCs w:val="24"/>
        </w:rPr>
        <w:t>nyaring</w:t>
      </w:r>
      <w:r>
        <w:rPr>
          <w:rFonts w:ascii="Times New Roman" w:hAnsi="Times New Roman" w:cs="Times New Roman"/>
          <w:sz w:val="24"/>
          <w:szCs w:val="24"/>
        </w:rPr>
        <w:t>. Tertulis di dalam 1Taw 15:16 bahwa “</w:t>
      </w:r>
      <w:r w:rsidRPr="00291329">
        <w:rPr>
          <w:rFonts w:ascii="Times New Roman" w:hAnsi="Times New Roman" w:cs="Times New Roman"/>
          <w:sz w:val="24"/>
          <w:szCs w:val="24"/>
        </w:rPr>
        <w:t>Daud memerintahkan para kepala orang Lewi itu, supaya mereka menyuruh berdiri saudara-saudara sepuak mereka, yakni para penyanyi, dengan membawa alat-alat musik seperti gambus, kecapi dan ceracap, untuk memperdengarkan dengan nyaring lagu-lagu gembira.</w:t>
      </w:r>
      <w:r>
        <w:rPr>
          <w:rFonts w:ascii="Times New Roman" w:hAnsi="Times New Roman" w:cs="Times New Roman"/>
          <w:sz w:val="24"/>
          <w:szCs w:val="24"/>
        </w:rPr>
        <w:t>” Bahkan di dalam ayat tersebut dijelaskan bahwa keberadaan pada penyanyi dan pemusik didukung oleh alat-alat musik seperti gambus dan kecapi. Hal ini membuktikan bahwa pujian dan penyembahan kepada YHWH dilakukan dalam sukacita yang sepenuhnya. Keterlibatan alat-alat musik menjadi sesuatu yang sangat alkitabiah. Gambus, kecapi dan ceracap merupakan alat musik yang menghasilkan suara riuh dan sata dimainkan bersamaan.</w:t>
      </w:r>
      <w:r w:rsidR="00624837">
        <w:rPr>
          <w:rStyle w:val="FootnoteReference"/>
          <w:rFonts w:ascii="Times New Roman" w:hAnsi="Times New Roman" w:cs="Times New Roman"/>
          <w:sz w:val="24"/>
          <w:szCs w:val="24"/>
        </w:rPr>
        <w:footnoteReference w:id="8"/>
      </w:r>
      <w:r w:rsidR="006A6E38">
        <w:rPr>
          <w:rFonts w:ascii="Times New Roman" w:hAnsi="Times New Roman" w:cs="Times New Roman"/>
          <w:sz w:val="24"/>
          <w:szCs w:val="24"/>
        </w:rPr>
        <w:t xml:space="preserve"> Disini terlihat bahwa penyembahan dihadapan YHWH bukanlah penyembahan di dalam diam atau di dalam hati, melainkan penyembahan ekspresif seperti budaya Timur Tengah masa itu dimana orang-orang memainkan alat musik dan menari sebagai ekspresi sukacita.</w:t>
      </w:r>
      <w:r w:rsidR="00560E8B">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r w:rsidRPr="00291329">
        <w:rPr>
          <w:rFonts w:ascii="Times New Roman" w:hAnsi="Times New Roman" w:cs="Times New Roman"/>
          <w:sz w:val="24"/>
          <w:szCs w:val="24"/>
        </w:rPr>
        <w:t> </w:t>
      </w:r>
      <w:r w:rsidR="00560E8B">
        <w:rPr>
          <w:rFonts w:ascii="Times New Roman" w:hAnsi="Times New Roman" w:cs="Times New Roman"/>
          <w:sz w:val="24"/>
          <w:szCs w:val="24"/>
        </w:rPr>
        <w:t xml:space="preserve">Lihat misalnya rujukan di dalam 1 Tawarikh 15:28. </w:t>
      </w:r>
      <w:r w:rsidR="00BA3DFC">
        <w:rPr>
          <w:rFonts w:ascii="Times New Roman" w:hAnsi="Times New Roman" w:cs="Times New Roman"/>
          <w:sz w:val="24"/>
          <w:szCs w:val="24"/>
        </w:rPr>
        <w:t>Saat mengangkat Tabut Tuhan, muncul sukacita yang membahana. “</w:t>
      </w:r>
      <w:r w:rsidR="00BA3DFC" w:rsidRPr="00BA3DFC">
        <w:rPr>
          <w:rFonts w:ascii="Times New Roman" w:hAnsi="Times New Roman" w:cs="Times New Roman"/>
          <w:sz w:val="24"/>
          <w:szCs w:val="24"/>
        </w:rPr>
        <w:t>Seluruh orang Israel mengangkut tabut perjanjian TUHAN itu dengan diiringi sorak dan bunyi sangkakala, nafiri dan ceracap, sambil memperdengarkan permainan gambus dan kecapi.</w:t>
      </w:r>
      <w:r w:rsidR="00BA3DFC">
        <w:rPr>
          <w:rFonts w:ascii="Times New Roman" w:hAnsi="Times New Roman" w:cs="Times New Roman"/>
          <w:sz w:val="24"/>
          <w:szCs w:val="24"/>
        </w:rPr>
        <w:t>” Definisi yang disusun Strong mengenai kata ‘sorak’</w:t>
      </w:r>
      <w:r w:rsidR="00BA3DFC" w:rsidRPr="00BA3DFC">
        <w:rPr>
          <w:rFonts w:ascii="Times New Roman" w:hAnsi="Times New Roman" w:cs="Times New Roman"/>
          <w:sz w:val="24"/>
          <w:szCs w:val="24"/>
        </w:rPr>
        <w:t> </w:t>
      </w:r>
      <w:r w:rsidR="00BA3DFC">
        <w:rPr>
          <w:rFonts w:ascii="Times New Roman" w:hAnsi="Times New Roman" w:cs="Times New Roman"/>
          <w:sz w:val="24"/>
          <w:szCs w:val="24"/>
        </w:rPr>
        <w:t>dari bahasa Ibrani ‘teruah’ yang berarti secara aklamasi bersuara sehingga tercipta keributan dan kebisingan.</w:t>
      </w:r>
      <w:r w:rsidR="00BA3DFC">
        <w:rPr>
          <w:rStyle w:val="FootnoteReference"/>
          <w:rFonts w:ascii="Times New Roman" w:hAnsi="Times New Roman" w:cs="Times New Roman"/>
          <w:sz w:val="24"/>
          <w:szCs w:val="24"/>
        </w:rPr>
        <w:footnoteReference w:id="10"/>
      </w:r>
      <w:r w:rsidR="00A24E6C">
        <w:rPr>
          <w:rFonts w:ascii="Times New Roman" w:hAnsi="Times New Roman" w:cs="Times New Roman"/>
          <w:sz w:val="24"/>
          <w:szCs w:val="24"/>
        </w:rPr>
        <w:t xml:space="preserve"> Dengan kata lain, respon melalui suara yang riuh untuk menghormati hadirat Tuhan adalah sesuatu yang Alkitabiah. Terlebih pada saat itu, bukan hanya suara manusia yang muncul tetapi teriakan dan sorak itu disertai oleh bunyi-bunyian alat musik. Dapat dibayangkan keriuhan seperti apa yang terjdi di hadapan Tuhan melalui tabut-Nya.</w:t>
      </w:r>
    </w:p>
    <w:p w14:paraId="042B0258" w14:textId="77777777" w:rsidR="00A776D2" w:rsidRDefault="00A776D2" w:rsidP="00F57C68">
      <w:pPr>
        <w:spacing w:after="0" w:line="288" w:lineRule="auto"/>
        <w:rPr>
          <w:rFonts w:ascii="Times New Roman" w:hAnsi="Times New Roman" w:cs="Times New Roman"/>
          <w:b/>
          <w:i/>
          <w:sz w:val="24"/>
          <w:szCs w:val="24"/>
        </w:rPr>
      </w:pPr>
    </w:p>
    <w:p w14:paraId="28A3DEFC" w14:textId="043D168E" w:rsidR="00CC7BA7" w:rsidRDefault="00CC7BA7" w:rsidP="00F57C68">
      <w:pPr>
        <w:spacing w:after="0" w:line="288" w:lineRule="auto"/>
        <w:rPr>
          <w:rFonts w:ascii="Times New Roman" w:hAnsi="Times New Roman" w:cs="Times New Roman"/>
          <w:b/>
          <w:i/>
          <w:sz w:val="24"/>
          <w:szCs w:val="24"/>
        </w:rPr>
      </w:pPr>
      <w:r w:rsidRPr="00CC7BA7">
        <w:rPr>
          <w:rFonts w:ascii="Times New Roman" w:hAnsi="Times New Roman" w:cs="Times New Roman"/>
          <w:b/>
          <w:i/>
          <w:sz w:val="24"/>
          <w:szCs w:val="24"/>
        </w:rPr>
        <w:t>Tarian dalam Perjanjian Lama</w:t>
      </w:r>
    </w:p>
    <w:p w14:paraId="36970487" w14:textId="2BAF3719" w:rsidR="00CC7BA7" w:rsidRPr="00CC7BA7" w:rsidRDefault="002B039C" w:rsidP="00F57C68">
      <w:pPr>
        <w:autoSpaceDE w:val="0"/>
        <w:autoSpaceDN w:val="0"/>
        <w:adjustRightInd w:val="0"/>
        <w:spacing w:after="0" w:line="288" w:lineRule="auto"/>
        <w:ind w:firstLine="567"/>
        <w:jc w:val="both"/>
        <w:rPr>
          <w:rFonts w:ascii="Times New Roman" w:hAnsi="Times New Roman" w:cs="Times New Roman"/>
          <w:sz w:val="20"/>
          <w:szCs w:val="20"/>
        </w:rPr>
      </w:pPr>
      <w:r w:rsidRPr="002B039C">
        <w:rPr>
          <w:rFonts w:ascii="Times New Roman" w:hAnsi="Times New Roman" w:cs="Times New Roman"/>
          <w:sz w:val="24"/>
          <w:szCs w:val="24"/>
        </w:rPr>
        <w:lastRenderedPageBreak/>
        <w:t xml:space="preserve">Dinarasikan di dalam Kitab 2 Samuel 6:14-16 bahwa “Daud menari-nari di hadapan TUHAN dengan sekuat tenaga; ia berbaju efod dari kain lenan. Daud dan seluruh orang Israel mengangkut tabut TUHAN itu dengan diiringi sorak dan bunyi sangkakala. Ketika tabut TUHAN itu masuk ke kota Daud, maka Mikhal, anak perempuan Saul, menjenguk dari jendela, lalu melihat raja Daud meloncat-loncat serta menari-nari di hadapan TUHAN. Sebab itu ia memandang rendah Daud dalam hatinya.” </w:t>
      </w:r>
      <w:r w:rsidR="00B56399">
        <w:rPr>
          <w:rFonts w:ascii="Times New Roman" w:hAnsi="Times New Roman" w:cs="Times New Roman"/>
          <w:sz w:val="24"/>
          <w:szCs w:val="24"/>
        </w:rPr>
        <w:t xml:space="preserve"> Apakah artinya menari di dalam nats tersebut?</w:t>
      </w:r>
    </w:p>
    <w:p w14:paraId="223E5921" w14:textId="77777777" w:rsidR="003D2CE0" w:rsidRDefault="00B56399"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Dua kata Ibrani yang artinya menari adalah </w:t>
      </w:r>
      <w:r w:rsidR="00CC7BA7" w:rsidRPr="00CC7BA7">
        <w:rPr>
          <w:rFonts w:ascii="Times New Roman" w:hAnsi="Times New Roman" w:cs="Times New Roman"/>
          <w:sz w:val="24"/>
          <w:szCs w:val="24"/>
          <w:rtl/>
          <w:lang w:bidi="he-IL"/>
        </w:rPr>
        <w:t>כָּרַר</w:t>
      </w:r>
      <w:r w:rsidR="00CC7BA7" w:rsidRPr="00CC7BA7">
        <w:rPr>
          <w:rFonts w:ascii="Times New Roman" w:hAnsi="Times New Roman" w:cs="Times New Roman"/>
          <w:sz w:val="24"/>
          <w:szCs w:val="24"/>
        </w:rPr>
        <w:t xml:space="preserve"> (</w:t>
      </w:r>
      <w:r w:rsidR="00CC7BA7" w:rsidRPr="00CC7BA7">
        <w:rPr>
          <w:rFonts w:ascii="Times New Roman" w:hAnsi="Times New Roman" w:cs="Times New Roman"/>
          <w:i/>
          <w:sz w:val="24"/>
          <w:szCs w:val="24"/>
        </w:rPr>
        <w:t>karar</w:t>
      </w:r>
      <w:r>
        <w:rPr>
          <w:rFonts w:ascii="Times New Roman" w:hAnsi="Times New Roman" w:cs="Times New Roman"/>
          <w:sz w:val="24"/>
          <w:szCs w:val="24"/>
        </w:rPr>
        <w:t xml:space="preserve">) </w:t>
      </w:r>
      <w:r w:rsidR="00CC7BA7" w:rsidRPr="00CC7BA7">
        <w:rPr>
          <w:rFonts w:ascii="Times New Roman" w:hAnsi="Times New Roman" w:cs="Times New Roman"/>
          <w:sz w:val="24"/>
          <w:szCs w:val="24"/>
        </w:rPr>
        <w:t xml:space="preserve">dan </w:t>
      </w:r>
      <w:r w:rsidR="00CC7BA7" w:rsidRPr="00CC7BA7">
        <w:rPr>
          <w:rFonts w:ascii="Times New Roman" w:hAnsi="Times New Roman" w:cs="Times New Roman"/>
          <w:sz w:val="24"/>
          <w:szCs w:val="24"/>
          <w:rtl/>
          <w:lang w:bidi="he-IL"/>
        </w:rPr>
        <w:t>מָחוֹל</w:t>
      </w:r>
      <w:r w:rsidR="00CC7BA7" w:rsidRPr="00CC7BA7">
        <w:rPr>
          <w:rFonts w:ascii="Times New Roman" w:hAnsi="Times New Roman" w:cs="Times New Roman"/>
          <w:sz w:val="24"/>
          <w:szCs w:val="24"/>
        </w:rPr>
        <w:t xml:space="preserve"> (</w:t>
      </w:r>
      <w:r w:rsidR="00CC7BA7" w:rsidRPr="00CC7BA7">
        <w:rPr>
          <w:rFonts w:ascii="Times New Roman" w:hAnsi="Times New Roman" w:cs="Times New Roman"/>
          <w:i/>
          <w:sz w:val="24"/>
          <w:szCs w:val="24"/>
        </w:rPr>
        <w:t>machowl</w:t>
      </w:r>
      <w:r w:rsidR="00CC7BA7" w:rsidRPr="00CC7BA7">
        <w:rPr>
          <w:rFonts w:ascii="Times New Roman" w:hAnsi="Times New Roman" w:cs="Times New Roman"/>
          <w:sz w:val="24"/>
          <w:szCs w:val="24"/>
        </w:rPr>
        <w:t xml:space="preserve">). Keduanya memiliki arti yang hampir mirip yaitu </w:t>
      </w:r>
      <w:r w:rsidR="00CC7BA7" w:rsidRPr="00CC7BA7">
        <w:rPr>
          <w:rFonts w:ascii="Times New Roman" w:hAnsi="Times New Roman" w:cs="Times New Roman"/>
          <w:i/>
          <w:sz w:val="24"/>
          <w:szCs w:val="24"/>
        </w:rPr>
        <w:t xml:space="preserve">to dance </w:t>
      </w:r>
      <w:r>
        <w:rPr>
          <w:rFonts w:ascii="Times New Roman" w:hAnsi="Times New Roman" w:cs="Times New Roman"/>
          <w:sz w:val="24"/>
          <w:szCs w:val="24"/>
        </w:rPr>
        <w:t>(menari) atau</w:t>
      </w:r>
      <w:r w:rsidR="00CC7BA7" w:rsidRPr="00CC7BA7">
        <w:rPr>
          <w:rFonts w:ascii="Times New Roman" w:hAnsi="Times New Roman" w:cs="Times New Roman"/>
          <w:sz w:val="24"/>
          <w:szCs w:val="24"/>
        </w:rPr>
        <w:t xml:space="preserve"> </w:t>
      </w:r>
      <w:r w:rsidR="00CC7BA7" w:rsidRPr="00CC7BA7">
        <w:rPr>
          <w:rFonts w:ascii="Times New Roman" w:hAnsi="Times New Roman" w:cs="Times New Roman"/>
          <w:i/>
          <w:sz w:val="24"/>
          <w:szCs w:val="24"/>
        </w:rPr>
        <w:t xml:space="preserve">to whirl </w:t>
      </w:r>
      <w:r w:rsidR="00CC7BA7" w:rsidRPr="00CC7BA7">
        <w:rPr>
          <w:rFonts w:ascii="Times New Roman" w:hAnsi="Times New Roman" w:cs="Times New Roman"/>
          <w:sz w:val="24"/>
          <w:szCs w:val="24"/>
        </w:rPr>
        <w:t>(berputar). Menari merupakan bentuk seni yang sudah ada sejak dahulu</w:t>
      </w:r>
      <w:r>
        <w:rPr>
          <w:rFonts w:ascii="Times New Roman" w:hAnsi="Times New Roman" w:cs="Times New Roman"/>
          <w:sz w:val="24"/>
          <w:szCs w:val="24"/>
        </w:rPr>
        <w:t xml:space="preserve"> dan menjadi bagian kebudayaan dunia Alkitab</w:t>
      </w:r>
      <w:r w:rsidR="00CC7BA7" w:rsidRPr="00CC7BA7">
        <w:rPr>
          <w:rFonts w:ascii="Times New Roman" w:hAnsi="Times New Roman" w:cs="Times New Roman"/>
          <w:sz w:val="24"/>
          <w:szCs w:val="24"/>
        </w:rPr>
        <w:t xml:space="preserve">. </w:t>
      </w:r>
      <w:r>
        <w:rPr>
          <w:rFonts w:ascii="Times New Roman" w:hAnsi="Times New Roman" w:cs="Times New Roman"/>
          <w:sz w:val="24"/>
          <w:szCs w:val="24"/>
        </w:rPr>
        <w:t xml:space="preserve">Kegiatan ini </w:t>
      </w:r>
      <w:r w:rsidR="00CC7BA7" w:rsidRPr="00CC7BA7">
        <w:rPr>
          <w:rFonts w:ascii="Times New Roman" w:hAnsi="Times New Roman" w:cs="Times New Roman"/>
          <w:sz w:val="24"/>
          <w:szCs w:val="24"/>
        </w:rPr>
        <w:t>diciptakan untuk melengkapi seni musik, yang sudah lebih dahulu ada</w:t>
      </w:r>
      <w:r>
        <w:rPr>
          <w:rFonts w:ascii="Times New Roman" w:hAnsi="Times New Roman" w:cs="Times New Roman"/>
          <w:sz w:val="24"/>
          <w:szCs w:val="24"/>
        </w:rPr>
        <w:t xml:space="preserve"> di dalam seni pertunjukan</w:t>
      </w:r>
      <w:r w:rsidR="00CC7BA7" w:rsidRPr="00CC7BA7">
        <w:rPr>
          <w:rFonts w:ascii="Times New Roman" w:hAnsi="Times New Roman" w:cs="Times New Roman"/>
          <w:sz w:val="24"/>
          <w:szCs w:val="24"/>
        </w:rPr>
        <w:t>.</w:t>
      </w:r>
      <w:r w:rsidR="00CC7BA7" w:rsidRPr="00CC7BA7">
        <w:rPr>
          <w:rStyle w:val="FootnoteReference"/>
          <w:rFonts w:ascii="Times New Roman" w:hAnsi="Times New Roman" w:cs="Times New Roman"/>
          <w:sz w:val="24"/>
          <w:szCs w:val="24"/>
        </w:rPr>
        <w:footnoteReference w:id="11"/>
      </w:r>
      <w:r w:rsidR="00CC7BA7" w:rsidRPr="00CC7BA7">
        <w:rPr>
          <w:rFonts w:ascii="Times New Roman" w:hAnsi="Times New Roman" w:cs="Times New Roman"/>
          <w:sz w:val="24"/>
          <w:szCs w:val="24"/>
        </w:rPr>
        <w:t xml:space="preserve"> Dalam budaya Yahudi, tarian berfungsi sebagai media doa dan penyembahan, sebagai bentuk ekspresi sukacita, sebagai penghubung Allah dan manusia. Zaluchu dalam penelitiannya mengenai tarian, mengungkapkan bahwa gerakan-gerakan </w:t>
      </w:r>
      <w:r>
        <w:rPr>
          <w:rFonts w:ascii="Times New Roman" w:hAnsi="Times New Roman" w:cs="Times New Roman"/>
          <w:sz w:val="24"/>
          <w:szCs w:val="24"/>
        </w:rPr>
        <w:t xml:space="preserve">tari </w:t>
      </w:r>
      <w:r w:rsidR="00CC7BA7" w:rsidRPr="00CC7BA7">
        <w:rPr>
          <w:rFonts w:ascii="Times New Roman" w:hAnsi="Times New Roman" w:cs="Times New Roman"/>
          <w:sz w:val="24"/>
          <w:szCs w:val="24"/>
        </w:rPr>
        <w:t xml:space="preserve">dipraktekkan dalam </w:t>
      </w:r>
      <w:r>
        <w:rPr>
          <w:rFonts w:ascii="Times New Roman" w:hAnsi="Times New Roman" w:cs="Times New Roman"/>
          <w:sz w:val="24"/>
          <w:szCs w:val="24"/>
        </w:rPr>
        <w:t xml:space="preserve">bentuk-bentuk tertentu sebagai bagian dari </w:t>
      </w:r>
      <w:r w:rsidR="00CC7BA7" w:rsidRPr="00CC7BA7">
        <w:rPr>
          <w:rFonts w:ascii="Times New Roman" w:hAnsi="Times New Roman" w:cs="Times New Roman"/>
          <w:sz w:val="24"/>
          <w:szCs w:val="24"/>
        </w:rPr>
        <w:t>ritual untuk tujuan pemujaan.</w:t>
      </w:r>
      <w:r w:rsidR="00CC7BA7" w:rsidRPr="00CC7BA7">
        <w:rPr>
          <w:rStyle w:val="FootnoteReference"/>
          <w:rFonts w:ascii="Times New Roman" w:hAnsi="Times New Roman" w:cs="Times New Roman"/>
          <w:sz w:val="24"/>
          <w:szCs w:val="24"/>
        </w:rPr>
        <w:footnoteReference w:id="12"/>
      </w:r>
      <w:r w:rsidR="00CC7BA7" w:rsidRPr="00CC7BA7">
        <w:rPr>
          <w:rFonts w:ascii="Times New Roman" w:hAnsi="Times New Roman" w:cs="Times New Roman"/>
          <w:sz w:val="24"/>
          <w:szCs w:val="24"/>
        </w:rPr>
        <w:t xml:space="preserve"> </w:t>
      </w:r>
      <w:r>
        <w:rPr>
          <w:rFonts w:ascii="Times New Roman" w:hAnsi="Times New Roman" w:cs="Times New Roman"/>
          <w:sz w:val="24"/>
          <w:szCs w:val="24"/>
        </w:rPr>
        <w:t xml:space="preserve">Pandangan ini sempat bertahan di era kekristenan mula-mula. </w:t>
      </w:r>
      <w:r w:rsidR="00CC7BA7" w:rsidRPr="00CC7BA7">
        <w:rPr>
          <w:rFonts w:ascii="Times New Roman" w:hAnsi="Times New Roman" w:cs="Times New Roman"/>
          <w:sz w:val="24"/>
          <w:szCs w:val="24"/>
        </w:rPr>
        <w:t>Namun ketika berada pada era reformasi</w:t>
      </w:r>
      <w:r>
        <w:rPr>
          <w:rFonts w:ascii="Times New Roman" w:hAnsi="Times New Roman" w:cs="Times New Roman"/>
          <w:sz w:val="24"/>
          <w:szCs w:val="24"/>
        </w:rPr>
        <w:t>, sebagaimana bentuknya hari ini</w:t>
      </w:r>
      <w:r w:rsidR="00CC7BA7" w:rsidRPr="00CC7BA7">
        <w:rPr>
          <w:rFonts w:ascii="Times New Roman" w:hAnsi="Times New Roman" w:cs="Times New Roman"/>
          <w:sz w:val="24"/>
          <w:szCs w:val="24"/>
        </w:rPr>
        <w:t xml:space="preserve">, aliran </w:t>
      </w:r>
      <w:r>
        <w:rPr>
          <w:rFonts w:ascii="Times New Roman" w:hAnsi="Times New Roman" w:cs="Times New Roman"/>
          <w:sz w:val="24"/>
          <w:szCs w:val="24"/>
        </w:rPr>
        <w:t xml:space="preserve">gereja mainstream seperti </w:t>
      </w:r>
      <w:r w:rsidR="00CC7BA7" w:rsidRPr="00CC7BA7">
        <w:rPr>
          <w:rFonts w:ascii="Times New Roman" w:hAnsi="Times New Roman" w:cs="Times New Roman"/>
          <w:sz w:val="24"/>
          <w:szCs w:val="24"/>
        </w:rPr>
        <w:t>Katolik dan Protestan mengeliminasi tarian sebagai bentuk penyembahan.</w:t>
      </w:r>
      <w:r w:rsidR="00CC7BA7" w:rsidRPr="00CC7BA7">
        <w:rPr>
          <w:rStyle w:val="FootnoteReference"/>
          <w:rFonts w:ascii="Times New Roman" w:hAnsi="Times New Roman" w:cs="Times New Roman"/>
          <w:sz w:val="24"/>
          <w:szCs w:val="24"/>
        </w:rPr>
        <w:footnoteReference w:id="13"/>
      </w:r>
      <w:r w:rsidR="003D2CE0">
        <w:rPr>
          <w:rFonts w:ascii="Times New Roman" w:hAnsi="Times New Roman" w:cs="Times New Roman"/>
          <w:sz w:val="24"/>
          <w:szCs w:val="24"/>
        </w:rPr>
        <w:t xml:space="preserve"> </w:t>
      </w:r>
    </w:p>
    <w:p w14:paraId="5B899509" w14:textId="143E81C9" w:rsidR="00CC7BA7" w:rsidRPr="00CC7BA7" w:rsidRDefault="003D2CE0" w:rsidP="00F57C68">
      <w:pPr>
        <w:spacing w:after="0" w:line="288"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Sejatinya, tarian adalah sebuah ekspresi </w:t>
      </w:r>
      <w:r w:rsidR="00CC7BA7" w:rsidRPr="00CC7BA7">
        <w:rPr>
          <w:rFonts w:ascii="Times New Roman" w:hAnsi="Times New Roman" w:cs="Times New Roman"/>
          <w:sz w:val="24"/>
          <w:szCs w:val="24"/>
        </w:rPr>
        <w:t>kebahagiaan dan sukacita</w:t>
      </w:r>
      <w:r>
        <w:rPr>
          <w:rFonts w:ascii="Times New Roman" w:hAnsi="Times New Roman" w:cs="Times New Roman"/>
          <w:sz w:val="24"/>
          <w:szCs w:val="24"/>
        </w:rPr>
        <w:t>.</w:t>
      </w:r>
      <w:r w:rsidR="00CC7BA7" w:rsidRPr="00CC7BA7">
        <w:rPr>
          <w:rStyle w:val="FootnoteReference"/>
          <w:rFonts w:ascii="Times New Roman" w:hAnsi="Times New Roman" w:cs="Times New Roman"/>
          <w:sz w:val="24"/>
          <w:szCs w:val="24"/>
        </w:rPr>
        <w:footnoteReference w:id="14"/>
      </w:r>
      <w:r w:rsidR="00CC7BA7" w:rsidRPr="00CC7BA7">
        <w:rPr>
          <w:rFonts w:ascii="Times New Roman" w:hAnsi="Times New Roman" w:cs="Times New Roman"/>
          <w:sz w:val="24"/>
          <w:szCs w:val="24"/>
        </w:rPr>
        <w:t xml:space="preserve"> </w:t>
      </w:r>
      <w:r>
        <w:rPr>
          <w:rFonts w:ascii="Times New Roman" w:hAnsi="Times New Roman" w:cs="Times New Roman"/>
          <w:sz w:val="24"/>
          <w:szCs w:val="24"/>
        </w:rPr>
        <w:t xml:space="preserve">Tetapi pemahaman seperti ini belum mendarat secara teologis di kalangan orang Kristen. </w:t>
      </w:r>
      <w:r w:rsidR="00CC7BA7" w:rsidRPr="00CC7BA7">
        <w:rPr>
          <w:rFonts w:ascii="Times New Roman" w:hAnsi="Times New Roman" w:cs="Times New Roman"/>
          <w:sz w:val="24"/>
          <w:szCs w:val="24"/>
        </w:rPr>
        <w:t>Banyak orang tidak menolak ketika pemimpin ibadah mengajak untuk berdiri</w:t>
      </w:r>
      <w:r>
        <w:rPr>
          <w:rFonts w:ascii="Times New Roman" w:hAnsi="Times New Roman" w:cs="Times New Roman"/>
          <w:sz w:val="24"/>
          <w:szCs w:val="24"/>
        </w:rPr>
        <w:t xml:space="preserve"> atau bertepuk tangan. Tetapi ketika diajak untuk m</w:t>
      </w:r>
      <w:r w:rsidR="00CC7BA7" w:rsidRPr="00CC7BA7">
        <w:rPr>
          <w:rFonts w:ascii="Times New Roman" w:hAnsi="Times New Roman" w:cs="Times New Roman"/>
          <w:sz w:val="24"/>
          <w:szCs w:val="24"/>
        </w:rPr>
        <w:t xml:space="preserve">enari-nari </w:t>
      </w:r>
      <w:r>
        <w:rPr>
          <w:rFonts w:ascii="Times New Roman" w:hAnsi="Times New Roman" w:cs="Times New Roman"/>
          <w:sz w:val="24"/>
          <w:szCs w:val="24"/>
        </w:rPr>
        <w:t xml:space="preserve">atau </w:t>
      </w:r>
      <w:r w:rsidR="00CC7BA7" w:rsidRPr="00CC7BA7">
        <w:rPr>
          <w:rFonts w:ascii="Times New Roman" w:hAnsi="Times New Roman" w:cs="Times New Roman"/>
          <w:sz w:val="24"/>
          <w:szCs w:val="24"/>
        </w:rPr>
        <w:t>meloncat-loncat</w:t>
      </w:r>
      <w:r>
        <w:rPr>
          <w:rFonts w:ascii="Times New Roman" w:hAnsi="Times New Roman" w:cs="Times New Roman"/>
          <w:sz w:val="24"/>
          <w:szCs w:val="24"/>
        </w:rPr>
        <w:t xml:space="preserve"> (dancing) muncul respon yang berbeda</w:t>
      </w:r>
      <w:r w:rsidR="00CC7BA7" w:rsidRPr="00CC7BA7">
        <w:rPr>
          <w:rFonts w:ascii="Times New Roman" w:hAnsi="Times New Roman" w:cs="Times New Roman"/>
          <w:sz w:val="24"/>
          <w:szCs w:val="24"/>
        </w:rPr>
        <w:t xml:space="preserve">. </w:t>
      </w:r>
      <w:r>
        <w:rPr>
          <w:rFonts w:ascii="Times New Roman" w:hAnsi="Times New Roman" w:cs="Times New Roman"/>
          <w:sz w:val="24"/>
          <w:szCs w:val="24"/>
        </w:rPr>
        <w:t xml:space="preserve"> Mneurut Sheil hal ini terjadi karena jemaat</w:t>
      </w:r>
      <w:r w:rsidR="00CC7BA7" w:rsidRPr="00CC7BA7">
        <w:rPr>
          <w:rFonts w:ascii="Times New Roman" w:hAnsi="Times New Roman" w:cs="Times New Roman"/>
          <w:sz w:val="24"/>
          <w:szCs w:val="24"/>
        </w:rPr>
        <w:t xml:space="preserve"> merasa tidak nyaman </w:t>
      </w:r>
      <w:r>
        <w:rPr>
          <w:rFonts w:ascii="Times New Roman" w:hAnsi="Times New Roman" w:cs="Times New Roman"/>
          <w:sz w:val="24"/>
          <w:szCs w:val="24"/>
        </w:rPr>
        <w:t xml:space="preserve">telah memiliki presuposisi bahwa tarian merupakan </w:t>
      </w:r>
      <w:r w:rsidR="00CC7BA7" w:rsidRPr="00CC7BA7">
        <w:rPr>
          <w:rFonts w:ascii="Times New Roman" w:hAnsi="Times New Roman" w:cs="Times New Roman"/>
          <w:sz w:val="24"/>
          <w:szCs w:val="24"/>
        </w:rPr>
        <w:t>pelampiasan nafsu rendah.</w:t>
      </w:r>
      <w:r w:rsidR="00CC7BA7" w:rsidRPr="00CC7BA7">
        <w:rPr>
          <w:rStyle w:val="FootnoteReference"/>
          <w:rFonts w:ascii="Times New Roman" w:hAnsi="Times New Roman" w:cs="Times New Roman"/>
          <w:sz w:val="24"/>
          <w:szCs w:val="24"/>
        </w:rPr>
        <w:footnoteReference w:id="15"/>
      </w:r>
      <w:r w:rsidR="00CC7BA7" w:rsidRPr="00CC7BA7">
        <w:rPr>
          <w:rFonts w:ascii="Times New Roman" w:hAnsi="Times New Roman" w:cs="Times New Roman"/>
          <w:sz w:val="24"/>
          <w:szCs w:val="24"/>
        </w:rPr>
        <w:t xml:space="preserve"> </w:t>
      </w:r>
      <w:r>
        <w:rPr>
          <w:rFonts w:ascii="Times New Roman" w:hAnsi="Times New Roman" w:cs="Times New Roman"/>
          <w:sz w:val="24"/>
          <w:szCs w:val="24"/>
        </w:rPr>
        <w:t xml:space="preserve">Pemahaman ini sangat bertolak belakang dengan pemazmur yang mengatakan </w:t>
      </w:r>
      <w:r w:rsidR="00CC7BA7" w:rsidRPr="003D2CE0">
        <w:rPr>
          <w:rFonts w:ascii="Times New Roman" w:hAnsi="Times New Roman" w:cs="Times New Roman"/>
          <w:sz w:val="24"/>
          <w:szCs w:val="24"/>
        </w:rPr>
        <w:t>“Biarlah mereka memuji-muji nama-Nya dengan tari-tarian, biarlah mereka bermazmur kepada-Nya dengan rebana dan kecapi!”</w:t>
      </w:r>
      <w:r>
        <w:rPr>
          <w:rFonts w:ascii="Times New Roman" w:hAnsi="Times New Roman" w:cs="Times New Roman"/>
          <w:sz w:val="24"/>
          <w:szCs w:val="24"/>
        </w:rPr>
        <w:t xml:space="preserve"> (mazmur 149:3)</w:t>
      </w:r>
      <w:r w:rsidR="00CC7BA7" w:rsidRPr="00CC7BA7">
        <w:rPr>
          <w:rFonts w:ascii="Times New Roman" w:hAnsi="Times New Roman" w:cs="Times New Roman"/>
          <w:sz w:val="24"/>
          <w:szCs w:val="24"/>
        </w:rPr>
        <w:t xml:space="preserve">. Begitu juga </w:t>
      </w:r>
      <w:r>
        <w:rPr>
          <w:rFonts w:ascii="Times New Roman" w:hAnsi="Times New Roman" w:cs="Times New Roman"/>
          <w:sz w:val="24"/>
          <w:szCs w:val="24"/>
        </w:rPr>
        <w:t xml:space="preserve">penekanan di dalam </w:t>
      </w:r>
      <w:r w:rsidR="00CC7BA7" w:rsidRPr="00CC7BA7">
        <w:rPr>
          <w:rFonts w:ascii="Times New Roman" w:hAnsi="Times New Roman" w:cs="Times New Roman"/>
          <w:sz w:val="24"/>
          <w:szCs w:val="24"/>
        </w:rPr>
        <w:t xml:space="preserve">Mazmur 150: 4 </w:t>
      </w:r>
      <w:r>
        <w:rPr>
          <w:rFonts w:ascii="Times New Roman" w:hAnsi="Times New Roman" w:cs="Times New Roman"/>
          <w:sz w:val="24"/>
          <w:szCs w:val="24"/>
        </w:rPr>
        <w:t xml:space="preserve">yang </w:t>
      </w:r>
      <w:r w:rsidR="00CC7BA7" w:rsidRPr="00CC7BA7">
        <w:rPr>
          <w:rFonts w:ascii="Times New Roman" w:hAnsi="Times New Roman" w:cs="Times New Roman"/>
          <w:sz w:val="24"/>
          <w:szCs w:val="24"/>
        </w:rPr>
        <w:t xml:space="preserve">mengatakan, </w:t>
      </w:r>
      <w:r w:rsidR="00CC7BA7" w:rsidRPr="003D2CE0">
        <w:rPr>
          <w:rFonts w:ascii="Times New Roman" w:hAnsi="Times New Roman" w:cs="Times New Roman"/>
          <w:sz w:val="24"/>
          <w:szCs w:val="24"/>
        </w:rPr>
        <w:t>“Pujilah Dia dengan rebana dan tari-tarian, pujilah Dia dengan permainan kecapi dan seruling!”.</w:t>
      </w:r>
      <w:r w:rsidR="00CC7BA7" w:rsidRPr="00CC7BA7">
        <w:rPr>
          <w:rFonts w:ascii="Times New Roman" w:hAnsi="Times New Roman" w:cs="Times New Roman"/>
          <w:sz w:val="24"/>
          <w:szCs w:val="24"/>
        </w:rPr>
        <w:t xml:space="preserve"> Dari sini </w:t>
      </w:r>
      <w:r>
        <w:rPr>
          <w:rFonts w:ascii="Times New Roman" w:hAnsi="Times New Roman" w:cs="Times New Roman"/>
          <w:sz w:val="24"/>
          <w:szCs w:val="24"/>
        </w:rPr>
        <w:t xml:space="preserve">terlihat bahwa </w:t>
      </w:r>
      <w:r w:rsidR="00CC7BA7" w:rsidRPr="00CC7BA7">
        <w:rPr>
          <w:rFonts w:ascii="Times New Roman" w:hAnsi="Times New Roman" w:cs="Times New Roman"/>
          <w:sz w:val="24"/>
          <w:szCs w:val="24"/>
        </w:rPr>
        <w:t xml:space="preserve">menari </w:t>
      </w:r>
      <w:r>
        <w:rPr>
          <w:rFonts w:ascii="Times New Roman" w:hAnsi="Times New Roman" w:cs="Times New Roman"/>
          <w:sz w:val="24"/>
          <w:szCs w:val="24"/>
        </w:rPr>
        <w:t xml:space="preserve">dihadapan Tuhan bukanlah sesuatu yang salah bahkan memiliki dukungan Alkitabiah yang kuat sebagai salah satu cara </w:t>
      </w:r>
      <w:r w:rsidR="00CC7BA7" w:rsidRPr="00CC7BA7">
        <w:rPr>
          <w:rFonts w:ascii="Times New Roman" w:hAnsi="Times New Roman" w:cs="Times New Roman"/>
          <w:sz w:val="24"/>
          <w:szCs w:val="24"/>
        </w:rPr>
        <w:t>memuliakan Allah.</w:t>
      </w:r>
      <w:r w:rsidR="0068249B">
        <w:rPr>
          <w:rStyle w:val="FootnoteReference"/>
          <w:rFonts w:ascii="Times New Roman" w:hAnsi="Times New Roman" w:cs="Times New Roman"/>
          <w:sz w:val="24"/>
          <w:szCs w:val="24"/>
        </w:rPr>
        <w:footnoteReference w:id="16"/>
      </w:r>
    </w:p>
    <w:p w14:paraId="44454FF0" w14:textId="586FDEE5" w:rsidR="001B5726" w:rsidRDefault="00CC7BA7" w:rsidP="00F57C68">
      <w:pPr>
        <w:spacing w:after="0" w:line="288" w:lineRule="auto"/>
        <w:ind w:firstLine="567"/>
        <w:jc w:val="both"/>
        <w:rPr>
          <w:rFonts w:ascii="Times New Roman" w:hAnsi="Times New Roman" w:cs="Times New Roman"/>
          <w:sz w:val="24"/>
          <w:szCs w:val="24"/>
        </w:rPr>
      </w:pPr>
      <w:r w:rsidRPr="00CC7BA7">
        <w:rPr>
          <w:rFonts w:ascii="Times New Roman" w:hAnsi="Times New Roman" w:cs="Times New Roman"/>
          <w:sz w:val="24"/>
          <w:szCs w:val="24"/>
        </w:rPr>
        <w:lastRenderedPageBreak/>
        <w:t xml:space="preserve">Berdasarkan pembahasan di atas dapat dipahami bahwa poin utama gestur tubuh yang dilakukan oleh Daud </w:t>
      </w:r>
      <w:r w:rsidR="00A5296F">
        <w:rPr>
          <w:rFonts w:ascii="Times New Roman" w:hAnsi="Times New Roman" w:cs="Times New Roman"/>
          <w:sz w:val="24"/>
          <w:szCs w:val="24"/>
        </w:rPr>
        <w:t>tidak bertumpu pada</w:t>
      </w:r>
      <w:r w:rsidRPr="00CC7BA7">
        <w:rPr>
          <w:rFonts w:ascii="Times New Roman" w:hAnsi="Times New Roman" w:cs="Times New Roman"/>
          <w:sz w:val="24"/>
          <w:szCs w:val="24"/>
        </w:rPr>
        <w:t xml:space="preserve"> gerakan dan tariannya, </w:t>
      </w:r>
      <w:r w:rsidR="00A5296F">
        <w:rPr>
          <w:rFonts w:ascii="Times New Roman" w:hAnsi="Times New Roman" w:cs="Times New Roman"/>
          <w:sz w:val="24"/>
          <w:szCs w:val="24"/>
        </w:rPr>
        <w:t xml:space="preserve">melainkan </w:t>
      </w:r>
      <w:r w:rsidRPr="00CC7BA7">
        <w:rPr>
          <w:rFonts w:ascii="Times New Roman" w:hAnsi="Times New Roman" w:cs="Times New Roman"/>
          <w:sz w:val="24"/>
          <w:szCs w:val="24"/>
        </w:rPr>
        <w:t xml:space="preserve">pada </w:t>
      </w:r>
      <w:r w:rsidR="00A5296F">
        <w:rPr>
          <w:rFonts w:ascii="Times New Roman" w:hAnsi="Times New Roman" w:cs="Times New Roman"/>
          <w:sz w:val="24"/>
          <w:szCs w:val="24"/>
        </w:rPr>
        <w:t xml:space="preserve">motivasi dan keinginan menggebu yang ada di dalam hati Daud. </w:t>
      </w:r>
      <w:r w:rsidRPr="00CC7BA7">
        <w:rPr>
          <w:rFonts w:ascii="Times New Roman" w:hAnsi="Times New Roman" w:cs="Times New Roman"/>
          <w:sz w:val="24"/>
          <w:szCs w:val="24"/>
        </w:rPr>
        <w:t xml:space="preserve">Gerakan meloncat-loncat dan menari-nari dilakukan oleh Daud sebagai bentuk ekspresi sukacita dan memuliakan Allah, bukan sebagai aktivitas yang liar, </w:t>
      </w:r>
      <w:r w:rsidR="00A5296F">
        <w:rPr>
          <w:rFonts w:ascii="Times New Roman" w:hAnsi="Times New Roman" w:cs="Times New Roman"/>
          <w:sz w:val="24"/>
          <w:szCs w:val="24"/>
        </w:rPr>
        <w:t xml:space="preserve">atau </w:t>
      </w:r>
      <w:r w:rsidRPr="00CC7BA7">
        <w:rPr>
          <w:rFonts w:ascii="Times New Roman" w:hAnsi="Times New Roman" w:cs="Times New Roman"/>
          <w:sz w:val="24"/>
          <w:szCs w:val="24"/>
        </w:rPr>
        <w:t>memuaskan diri sendiri.</w:t>
      </w:r>
    </w:p>
    <w:p w14:paraId="3E94541E" w14:textId="77777777" w:rsidR="00CC7BA7" w:rsidRPr="00843EB2" w:rsidRDefault="00CC7BA7" w:rsidP="00F57C68">
      <w:pPr>
        <w:spacing w:after="0" w:line="288" w:lineRule="auto"/>
        <w:ind w:firstLine="567"/>
        <w:jc w:val="both"/>
        <w:rPr>
          <w:rFonts w:ascii="Times New Roman" w:hAnsi="Times New Roman" w:cs="Times New Roman"/>
          <w:sz w:val="24"/>
          <w:szCs w:val="24"/>
        </w:rPr>
      </w:pPr>
    </w:p>
    <w:p w14:paraId="32187EB5" w14:textId="6D7D86E9" w:rsidR="001B5726" w:rsidRPr="00843EB2" w:rsidRDefault="00CC7BA7" w:rsidP="00F57C68">
      <w:pPr>
        <w:spacing w:after="0" w:line="288" w:lineRule="auto"/>
        <w:jc w:val="both"/>
        <w:outlineLvl w:val="0"/>
        <w:rPr>
          <w:rFonts w:ascii="Times New Roman" w:hAnsi="Times New Roman" w:cs="Times New Roman"/>
          <w:i/>
          <w:sz w:val="24"/>
          <w:szCs w:val="24"/>
        </w:rPr>
      </w:pPr>
      <w:r w:rsidRPr="00CC7BA7">
        <w:rPr>
          <w:rFonts w:ascii="Times New Roman" w:hAnsi="Times New Roman" w:cs="Times New Roman"/>
          <w:b/>
          <w:i/>
          <w:sz w:val="24"/>
          <w:szCs w:val="24"/>
        </w:rPr>
        <w:t>Ibadah Kristiani</w:t>
      </w:r>
    </w:p>
    <w:p w14:paraId="215B7395" w14:textId="754A56B7" w:rsidR="00CC7BA7" w:rsidRDefault="004C6D23" w:rsidP="00F57C68">
      <w:pPr>
        <w:spacing w:after="0" w:line="288" w:lineRule="auto"/>
        <w:ind w:firstLine="567"/>
        <w:jc w:val="both"/>
        <w:rPr>
          <w:rStyle w:val="SubtleEmphasis"/>
          <w:rFonts w:ascii="Times New Roman" w:hAnsi="Times New Roman" w:cs="Times New Roman"/>
          <w:i w:val="0"/>
          <w:color w:val="auto"/>
          <w:sz w:val="24"/>
          <w:szCs w:val="24"/>
        </w:rPr>
      </w:pPr>
      <w:r>
        <w:rPr>
          <w:rFonts w:ascii="Times New Roman" w:eastAsia="Times New Roman" w:hAnsi="Times New Roman" w:cs="Times New Roman"/>
          <w:sz w:val="24"/>
          <w:szCs w:val="24"/>
          <w:lang w:eastAsia="id-ID"/>
        </w:rPr>
        <w:t xml:space="preserve">Ekspresi dan sukacita di dalam ibadah tidak dapat dipisahkan dari entitas dan konsep ‘ibadah’ itu sendiri. </w:t>
      </w:r>
      <w:r w:rsidR="00CC7BA7" w:rsidRPr="00CC7BA7">
        <w:rPr>
          <w:rFonts w:ascii="Times New Roman" w:eastAsia="Times New Roman" w:hAnsi="Times New Roman" w:cs="Times New Roman"/>
          <w:sz w:val="24"/>
          <w:szCs w:val="24"/>
          <w:lang w:eastAsia="id-ID"/>
        </w:rPr>
        <w:t>Istilah ibadah bukanlah sesuatu yang mudah untuk diartikan</w:t>
      </w:r>
      <w:r>
        <w:rPr>
          <w:rFonts w:ascii="Times New Roman" w:eastAsia="Times New Roman" w:hAnsi="Times New Roman" w:cs="Times New Roman"/>
          <w:sz w:val="24"/>
          <w:szCs w:val="24"/>
          <w:lang w:eastAsia="id-ID"/>
        </w:rPr>
        <w:t xml:space="preserve"> secara general di dalam konteks kekristenan</w:t>
      </w:r>
      <w:r w:rsidR="00CC7BA7" w:rsidRPr="00CC7BA7">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xml:space="preserve"> Terlebih di dalam gereja yang telah terbagi-bagi di dalam perbedaan doktrin dan aliran.</w:t>
      </w:r>
      <w:r>
        <w:rPr>
          <w:rStyle w:val="FootnoteReference"/>
          <w:rFonts w:ascii="Times New Roman" w:eastAsia="Times New Roman" w:hAnsi="Times New Roman" w:cs="Times New Roman"/>
          <w:sz w:val="24"/>
          <w:szCs w:val="24"/>
          <w:lang w:eastAsia="id-ID"/>
        </w:rPr>
        <w:footnoteReference w:id="17"/>
      </w:r>
      <w:r>
        <w:rPr>
          <w:rFonts w:ascii="Times New Roman" w:eastAsia="Times New Roman" w:hAnsi="Times New Roman" w:cs="Times New Roman"/>
          <w:sz w:val="24"/>
          <w:szCs w:val="24"/>
          <w:lang w:eastAsia="id-ID"/>
        </w:rPr>
        <w:t xml:space="preserve"> </w:t>
      </w:r>
      <w:r w:rsidR="00CC7BA7" w:rsidRPr="00CC7BA7">
        <w:rPr>
          <w:rFonts w:ascii="Times New Roman" w:eastAsia="Times New Roman" w:hAnsi="Times New Roman" w:cs="Times New Roman"/>
          <w:sz w:val="24"/>
          <w:szCs w:val="24"/>
          <w:lang w:eastAsia="id-ID"/>
        </w:rPr>
        <w:t xml:space="preserve"> </w:t>
      </w:r>
      <w:r w:rsidR="00CC7BA7" w:rsidRPr="00CC7BA7">
        <w:rPr>
          <w:rStyle w:val="SubtleEmphasis"/>
          <w:rFonts w:ascii="Times New Roman" w:hAnsi="Times New Roman" w:cs="Times New Roman"/>
          <w:i w:val="0"/>
          <w:color w:val="auto"/>
          <w:sz w:val="24"/>
          <w:szCs w:val="24"/>
        </w:rPr>
        <w:t xml:space="preserve">Salah satu cara untuk mengerti arti dari kata “ibadah” </w:t>
      </w:r>
      <w:r>
        <w:rPr>
          <w:rStyle w:val="SubtleEmphasis"/>
          <w:rFonts w:ascii="Times New Roman" w:hAnsi="Times New Roman" w:cs="Times New Roman"/>
          <w:i w:val="0"/>
          <w:color w:val="auto"/>
          <w:sz w:val="24"/>
          <w:szCs w:val="24"/>
        </w:rPr>
        <w:t xml:space="preserve">tersebut </w:t>
      </w:r>
      <w:r w:rsidR="00CC7BA7" w:rsidRPr="00CC7BA7">
        <w:rPr>
          <w:rStyle w:val="SubtleEmphasis"/>
          <w:rFonts w:ascii="Times New Roman" w:hAnsi="Times New Roman" w:cs="Times New Roman"/>
          <w:i w:val="0"/>
          <w:color w:val="auto"/>
          <w:sz w:val="24"/>
          <w:szCs w:val="24"/>
        </w:rPr>
        <w:t xml:space="preserve">adalah dengan melihat beberapa kata dalam bahasa lain yang telah dipakai oleh orang Kristen. Kata “Ibadah” berasal dari istilah bahasa Ibrani dalam PL </w:t>
      </w:r>
      <w:r w:rsidR="00CC7BA7" w:rsidRPr="00CC7BA7">
        <w:rPr>
          <w:rFonts w:ascii="Times New Roman" w:hAnsi="Times New Roman" w:cs="Times New Roman"/>
          <w:i/>
          <w:sz w:val="24"/>
          <w:szCs w:val="24"/>
          <w:rtl/>
          <w:lang w:bidi="he-IL"/>
        </w:rPr>
        <w:t>עֲבֹדָה</w:t>
      </w:r>
      <w:r w:rsidR="00CC7BA7" w:rsidRPr="00CC7BA7">
        <w:rPr>
          <w:rStyle w:val="SubtleEmphasis"/>
          <w:rFonts w:ascii="Times New Roman" w:hAnsi="Times New Roman" w:cs="Times New Roman"/>
          <w:i w:val="0"/>
          <w:color w:val="auto"/>
          <w:sz w:val="24"/>
          <w:szCs w:val="24"/>
        </w:rPr>
        <w:t xml:space="preserve"> (abodah). Kata ini yang kemudian diserap ke dalam bahasa</w:t>
      </w:r>
      <w:r>
        <w:rPr>
          <w:rStyle w:val="SubtleEmphasis"/>
          <w:rFonts w:ascii="Times New Roman" w:hAnsi="Times New Roman" w:cs="Times New Roman"/>
          <w:i w:val="0"/>
          <w:color w:val="auto"/>
          <w:sz w:val="24"/>
          <w:szCs w:val="24"/>
        </w:rPr>
        <w:t xml:space="preserve"> Indonesia menjadi ibadah atau </w:t>
      </w:r>
      <w:r w:rsidR="00CC7BA7" w:rsidRPr="00CC7BA7">
        <w:rPr>
          <w:rStyle w:val="SubtleEmphasis"/>
          <w:rFonts w:ascii="Times New Roman" w:hAnsi="Times New Roman" w:cs="Times New Roman"/>
          <w:i w:val="0"/>
          <w:color w:val="auto"/>
          <w:sz w:val="24"/>
          <w:szCs w:val="24"/>
        </w:rPr>
        <w:t xml:space="preserve">ibadat. Istilah Jerman </w:t>
      </w:r>
      <w:r w:rsidR="00CC7BA7" w:rsidRPr="004C6D23">
        <w:rPr>
          <w:rStyle w:val="SubtleEmphasis"/>
          <w:rFonts w:ascii="Times New Roman" w:hAnsi="Times New Roman" w:cs="Times New Roman"/>
          <w:color w:val="auto"/>
          <w:sz w:val="24"/>
          <w:szCs w:val="24"/>
        </w:rPr>
        <w:t>gottesdienst</w:t>
      </w:r>
      <w:r w:rsidR="00CC7BA7" w:rsidRPr="00CC7BA7">
        <w:rPr>
          <w:rStyle w:val="SubtleEmphasis"/>
          <w:rFonts w:ascii="Times New Roman" w:hAnsi="Times New Roman" w:cs="Times New Roman"/>
          <w:i w:val="0"/>
          <w:color w:val="auto"/>
          <w:sz w:val="24"/>
          <w:szCs w:val="24"/>
        </w:rPr>
        <w:t xml:space="preserve"> merupakan kata yang penting untuk mendalami definisi mengenai ibadah. Dalam bahasa Indonesia, </w:t>
      </w:r>
      <w:r w:rsidR="00CC7BA7" w:rsidRPr="004C6D23">
        <w:rPr>
          <w:rStyle w:val="SubtleEmphasis"/>
          <w:rFonts w:ascii="Times New Roman" w:hAnsi="Times New Roman" w:cs="Times New Roman"/>
          <w:color w:val="auto"/>
          <w:sz w:val="24"/>
          <w:szCs w:val="24"/>
        </w:rPr>
        <w:t>gottesdienst</w:t>
      </w:r>
      <w:r w:rsidR="00CC7BA7" w:rsidRPr="00CC7BA7">
        <w:rPr>
          <w:rStyle w:val="SubtleEmphasis"/>
          <w:rFonts w:ascii="Times New Roman" w:hAnsi="Times New Roman" w:cs="Times New Roman"/>
          <w:i w:val="0"/>
          <w:color w:val="auto"/>
          <w:sz w:val="24"/>
          <w:szCs w:val="24"/>
        </w:rPr>
        <w:t xml:space="preserve"> dapat diartikan sebagai “Pelayanan Allah dan pelayanan kita kepada Allah”. Kata lainn</w:t>
      </w:r>
      <w:r>
        <w:rPr>
          <w:rStyle w:val="SubtleEmphasis"/>
          <w:rFonts w:ascii="Times New Roman" w:hAnsi="Times New Roman" w:cs="Times New Roman"/>
          <w:i w:val="0"/>
          <w:color w:val="auto"/>
          <w:sz w:val="24"/>
          <w:szCs w:val="24"/>
        </w:rPr>
        <w:t>ya dalam bahasa Inggris modern adalah</w:t>
      </w:r>
      <w:r w:rsidR="00CC7BA7" w:rsidRPr="00CC7BA7">
        <w:rPr>
          <w:rStyle w:val="SubtleEmphasis"/>
          <w:rFonts w:ascii="Times New Roman" w:hAnsi="Times New Roman" w:cs="Times New Roman"/>
          <w:i w:val="0"/>
          <w:color w:val="auto"/>
          <w:sz w:val="24"/>
          <w:szCs w:val="24"/>
        </w:rPr>
        <w:t xml:space="preserve"> </w:t>
      </w:r>
      <w:r w:rsidR="00CC7BA7" w:rsidRPr="004C6D23">
        <w:rPr>
          <w:rStyle w:val="SubtleEmphasis"/>
          <w:rFonts w:ascii="Times New Roman" w:hAnsi="Times New Roman" w:cs="Times New Roman"/>
          <w:color w:val="auto"/>
          <w:sz w:val="24"/>
          <w:szCs w:val="24"/>
        </w:rPr>
        <w:t>liturgy</w:t>
      </w:r>
      <w:r w:rsidR="00CC7BA7" w:rsidRPr="00CC7BA7">
        <w:rPr>
          <w:rStyle w:val="SubtleEmphasis"/>
          <w:rFonts w:ascii="Times New Roman" w:hAnsi="Times New Roman" w:cs="Times New Roman"/>
          <w:i w:val="0"/>
          <w:color w:val="auto"/>
          <w:sz w:val="24"/>
          <w:szCs w:val="24"/>
        </w:rPr>
        <w:t xml:space="preserve"> yang berasal dari </w:t>
      </w:r>
      <w:r>
        <w:rPr>
          <w:rStyle w:val="SubtleEmphasis"/>
          <w:rFonts w:ascii="Times New Roman" w:hAnsi="Times New Roman" w:cs="Times New Roman"/>
          <w:i w:val="0"/>
          <w:color w:val="auto"/>
          <w:sz w:val="24"/>
          <w:szCs w:val="24"/>
        </w:rPr>
        <w:t xml:space="preserve">kata </w:t>
      </w:r>
      <w:r w:rsidR="00CC7BA7" w:rsidRPr="00CC7BA7">
        <w:rPr>
          <w:rStyle w:val="SubtleEmphasis"/>
          <w:rFonts w:ascii="Times New Roman" w:hAnsi="Times New Roman" w:cs="Times New Roman"/>
          <w:i w:val="0"/>
          <w:color w:val="auto"/>
          <w:sz w:val="24"/>
          <w:szCs w:val="24"/>
        </w:rPr>
        <w:t xml:space="preserve">Yunani </w:t>
      </w:r>
      <w:r w:rsidR="00CC7BA7" w:rsidRPr="004C6D23">
        <w:rPr>
          <w:rStyle w:val="SubtleEmphasis"/>
          <w:rFonts w:ascii="Times New Roman" w:hAnsi="Times New Roman" w:cs="Times New Roman"/>
          <w:color w:val="auto"/>
          <w:sz w:val="24"/>
          <w:szCs w:val="24"/>
        </w:rPr>
        <w:t>letourgia</w:t>
      </w:r>
      <w:r w:rsidR="00CC7BA7" w:rsidRPr="00CC7BA7">
        <w:rPr>
          <w:rStyle w:val="SubtleEmphasis"/>
          <w:rFonts w:ascii="Times New Roman" w:hAnsi="Times New Roman" w:cs="Times New Roman"/>
          <w:i w:val="0"/>
          <w:color w:val="auto"/>
          <w:sz w:val="24"/>
          <w:szCs w:val="24"/>
        </w:rPr>
        <w:t xml:space="preserve">. Kata ini terdiri dari kata </w:t>
      </w:r>
      <w:r w:rsidR="00CC7BA7" w:rsidRPr="004C6D23">
        <w:rPr>
          <w:rStyle w:val="SubtleEmphasis"/>
          <w:rFonts w:ascii="Times New Roman" w:hAnsi="Times New Roman" w:cs="Times New Roman"/>
          <w:color w:val="auto"/>
          <w:sz w:val="24"/>
          <w:szCs w:val="24"/>
        </w:rPr>
        <w:t xml:space="preserve">ergon </w:t>
      </w:r>
      <w:r w:rsidR="00CC7BA7" w:rsidRPr="00CC7BA7">
        <w:rPr>
          <w:rStyle w:val="SubtleEmphasis"/>
          <w:rFonts w:ascii="Times New Roman" w:hAnsi="Times New Roman" w:cs="Times New Roman"/>
          <w:i w:val="0"/>
          <w:color w:val="auto"/>
          <w:sz w:val="24"/>
          <w:szCs w:val="24"/>
        </w:rPr>
        <w:t xml:space="preserve">(bekerja) dan </w:t>
      </w:r>
      <w:r w:rsidR="00CC7BA7" w:rsidRPr="004C6D23">
        <w:rPr>
          <w:rStyle w:val="SubtleEmphasis"/>
          <w:rFonts w:ascii="Times New Roman" w:hAnsi="Times New Roman" w:cs="Times New Roman"/>
          <w:color w:val="auto"/>
          <w:sz w:val="24"/>
          <w:szCs w:val="24"/>
        </w:rPr>
        <w:t>laos</w:t>
      </w:r>
      <w:r w:rsidR="00CC7BA7" w:rsidRPr="00CC7BA7">
        <w:rPr>
          <w:rStyle w:val="SubtleEmphasis"/>
          <w:rFonts w:ascii="Times New Roman" w:hAnsi="Times New Roman" w:cs="Times New Roman"/>
          <w:i w:val="0"/>
          <w:color w:val="auto"/>
          <w:sz w:val="24"/>
          <w:szCs w:val="24"/>
        </w:rPr>
        <w:t xml:space="preserve"> (umat/rakyat). </w:t>
      </w:r>
      <w:r>
        <w:rPr>
          <w:rStyle w:val="SubtleEmphasis"/>
          <w:rFonts w:ascii="Times New Roman" w:hAnsi="Times New Roman" w:cs="Times New Roman"/>
          <w:i w:val="0"/>
          <w:color w:val="auto"/>
          <w:sz w:val="24"/>
          <w:szCs w:val="24"/>
        </w:rPr>
        <w:t>Dengan demikian, l</w:t>
      </w:r>
      <w:r w:rsidR="00CC7BA7" w:rsidRPr="00CC7BA7">
        <w:rPr>
          <w:rStyle w:val="SubtleEmphasis"/>
          <w:rFonts w:ascii="Times New Roman" w:hAnsi="Times New Roman" w:cs="Times New Roman"/>
          <w:i w:val="0"/>
          <w:color w:val="auto"/>
          <w:sz w:val="24"/>
          <w:szCs w:val="24"/>
        </w:rPr>
        <w:t>iturgi berarti pekerjaan yang dilakukan oleh orang-orang demi manfaat bagi orang lain.</w:t>
      </w:r>
      <w:r w:rsidR="00420895" w:rsidRPr="00420895">
        <w:rPr>
          <w:rStyle w:val="FootnoteReference"/>
          <w:rFonts w:ascii="Times New Roman" w:hAnsi="Times New Roman" w:cs="Times New Roman"/>
          <w:i/>
          <w:sz w:val="24"/>
          <w:szCs w:val="24"/>
        </w:rPr>
        <w:t xml:space="preserve"> </w:t>
      </w:r>
      <w:r w:rsidR="00420895" w:rsidRPr="00CC7BA7">
        <w:rPr>
          <w:rStyle w:val="FootnoteReference"/>
          <w:rFonts w:ascii="Times New Roman" w:hAnsi="Times New Roman" w:cs="Times New Roman"/>
          <w:i/>
          <w:sz w:val="24"/>
          <w:szCs w:val="24"/>
        </w:rPr>
        <w:footnoteReference w:id="18"/>
      </w:r>
    </w:p>
    <w:p w14:paraId="173C346C" w14:textId="595E1A05" w:rsidR="00CC7BA7" w:rsidRDefault="00CC7BA7" w:rsidP="00F57C68">
      <w:pPr>
        <w:spacing w:after="0" w:line="288" w:lineRule="auto"/>
        <w:ind w:firstLine="567"/>
        <w:jc w:val="both"/>
        <w:rPr>
          <w:rStyle w:val="SubtleEmphasis"/>
          <w:rFonts w:ascii="Times New Roman" w:hAnsi="Times New Roman" w:cs="Times New Roman"/>
          <w:i w:val="0"/>
          <w:color w:val="auto"/>
          <w:sz w:val="24"/>
          <w:szCs w:val="24"/>
        </w:rPr>
      </w:pPr>
      <w:r w:rsidRPr="00CC7BA7">
        <w:rPr>
          <w:rStyle w:val="SubtleEmphasis"/>
          <w:rFonts w:ascii="Times New Roman" w:hAnsi="Times New Roman" w:cs="Times New Roman"/>
          <w:i w:val="0"/>
          <w:color w:val="auto"/>
          <w:sz w:val="24"/>
          <w:szCs w:val="24"/>
        </w:rPr>
        <w:t>David Ray menjelaskan “ibadah” adalah kata yang biasa dipakai di dalam berbagai kegiatan gereja dimana gereja menyelenggarakan pertemuan bersama guna mengekspresikan iman mereka dalam puji-pujian, mendengarkan Firman Allah, dan merespon kasih Allah</w:t>
      </w:r>
      <w:r w:rsidR="00420895">
        <w:rPr>
          <w:rStyle w:val="SubtleEmphasis"/>
          <w:rFonts w:ascii="Times New Roman" w:hAnsi="Times New Roman" w:cs="Times New Roman"/>
          <w:i w:val="0"/>
          <w:color w:val="auto"/>
          <w:sz w:val="24"/>
          <w:szCs w:val="24"/>
        </w:rPr>
        <w:t>”</w:t>
      </w:r>
      <w:r w:rsidRPr="00CC7BA7">
        <w:rPr>
          <w:rStyle w:val="SubtleEmphasis"/>
          <w:rFonts w:ascii="Times New Roman" w:hAnsi="Times New Roman" w:cs="Times New Roman"/>
          <w:i w:val="0"/>
          <w:color w:val="auto"/>
          <w:sz w:val="24"/>
          <w:szCs w:val="24"/>
        </w:rPr>
        <w:t>.</w:t>
      </w:r>
      <w:r w:rsidRPr="00CC7BA7">
        <w:rPr>
          <w:rStyle w:val="FootnoteReference"/>
          <w:rFonts w:ascii="Times New Roman" w:hAnsi="Times New Roman" w:cs="Times New Roman"/>
          <w:i/>
          <w:sz w:val="24"/>
          <w:szCs w:val="24"/>
        </w:rPr>
        <w:footnoteReference w:id="19"/>
      </w:r>
      <w:r w:rsidRPr="00CC7BA7">
        <w:rPr>
          <w:rStyle w:val="SubtleEmphasis"/>
          <w:rFonts w:ascii="Times New Roman" w:hAnsi="Times New Roman" w:cs="Times New Roman"/>
          <w:i w:val="0"/>
          <w:color w:val="auto"/>
          <w:sz w:val="24"/>
          <w:szCs w:val="24"/>
        </w:rPr>
        <w:t xml:space="preserve"> </w:t>
      </w:r>
      <w:r w:rsidR="00420895">
        <w:rPr>
          <w:rStyle w:val="SubtleEmphasis"/>
          <w:rFonts w:ascii="Times New Roman" w:hAnsi="Times New Roman" w:cs="Times New Roman"/>
          <w:i w:val="0"/>
          <w:color w:val="auto"/>
          <w:sz w:val="24"/>
          <w:szCs w:val="24"/>
        </w:rPr>
        <w:t xml:space="preserve">Pendapat itu senada dengan penjelasan </w:t>
      </w:r>
      <w:r w:rsidRPr="00CC7BA7">
        <w:rPr>
          <w:rStyle w:val="SubtleEmphasis"/>
          <w:rFonts w:ascii="Times New Roman" w:hAnsi="Times New Roman" w:cs="Times New Roman"/>
          <w:i w:val="0"/>
          <w:color w:val="auto"/>
          <w:sz w:val="24"/>
          <w:szCs w:val="24"/>
        </w:rPr>
        <w:t xml:space="preserve">Hoon </w:t>
      </w:r>
      <w:r w:rsidR="00420895">
        <w:rPr>
          <w:rStyle w:val="SubtleEmphasis"/>
          <w:rFonts w:ascii="Times New Roman" w:hAnsi="Times New Roman" w:cs="Times New Roman"/>
          <w:i w:val="0"/>
          <w:color w:val="auto"/>
          <w:sz w:val="24"/>
          <w:szCs w:val="24"/>
        </w:rPr>
        <w:t xml:space="preserve">yang </w:t>
      </w:r>
      <w:r w:rsidRPr="00CC7BA7">
        <w:rPr>
          <w:rStyle w:val="SubtleEmphasis"/>
          <w:rFonts w:ascii="Times New Roman" w:hAnsi="Times New Roman" w:cs="Times New Roman"/>
          <w:i w:val="0"/>
          <w:color w:val="auto"/>
          <w:sz w:val="24"/>
          <w:szCs w:val="24"/>
        </w:rPr>
        <w:t>menyatakan bahwa, “ibadah Kristen adalah penyataan diri Allah sendiri dalam Yesus Kristus dan tanggapan manusia terhadap</w:t>
      </w:r>
      <w:r w:rsidR="00420895">
        <w:rPr>
          <w:rStyle w:val="SubtleEmphasis"/>
          <w:rFonts w:ascii="Times New Roman" w:hAnsi="Times New Roman" w:cs="Times New Roman"/>
          <w:i w:val="0"/>
          <w:color w:val="auto"/>
          <w:sz w:val="24"/>
          <w:szCs w:val="24"/>
        </w:rPr>
        <w:t>-</w:t>
      </w:r>
      <w:r w:rsidRPr="00CC7BA7">
        <w:rPr>
          <w:rStyle w:val="SubtleEmphasis"/>
          <w:rFonts w:ascii="Times New Roman" w:hAnsi="Times New Roman" w:cs="Times New Roman"/>
          <w:i w:val="0"/>
          <w:color w:val="auto"/>
          <w:sz w:val="24"/>
          <w:szCs w:val="24"/>
        </w:rPr>
        <w:t>Nya”. Ada tindakan ganda di dalamnya yaitu “tindakan Allah kepada jiwa manusia dalam Yesus dan tindakan tanggapan manusia melalui Yesus”.</w:t>
      </w:r>
      <w:r w:rsidRPr="00CC7BA7">
        <w:rPr>
          <w:rStyle w:val="FootnoteReference"/>
          <w:rFonts w:ascii="Times New Roman" w:hAnsi="Times New Roman" w:cs="Times New Roman"/>
          <w:i/>
          <w:sz w:val="24"/>
          <w:szCs w:val="24"/>
        </w:rPr>
        <w:footnoteReference w:id="20"/>
      </w:r>
      <w:r w:rsidRPr="00CC7BA7">
        <w:rPr>
          <w:rStyle w:val="SubtleEmphasis"/>
          <w:rFonts w:ascii="Times New Roman" w:hAnsi="Times New Roman" w:cs="Times New Roman"/>
          <w:i w:val="0"/>
          <w:color w:val="auto"/>
          <w:sz w:val="24"/>
          <w:szCs w:val="24"/>
        </w:rPr>
        <w:t xml:space="preserve"> </w:t>
      </w:r>
      <w:r w:rsidR="00420895">
        <w:rPr>
          <w:rStyle w:val="SubtleEmphasis"/>
          <w:rFonts w:ascii="Times New Roman" w:hAnsi="Times New Roman" w:cs="Times New Roman"/>
          <w:i w:val="0"/>
          <w:color w:val="auto"/>
          <w:sz w:val="24"/>
          <w:szCs w:val="24"/>
        </w:rPr>
        <w:t xml:space="preserve">Sependapat </w:t>
      </w:r>
      <w:r w:rsidRPr="00CC7BA7">
        <w:rPr>
          <w:rStyle w:val="SubtleEmphasis"/>
          <w:rFonts w:ascii="Times New Roman" w:hAnsi="Times New Roman" w:cs="Times New Roman"/>
          <w:i w:val="0"/>
          <w:color w:val="auto"/>
          <w:sz w:val="24"/>
          <w:szCs w:val="24"/>
        </w:rPr>
        <w:t xml:space="preserve">dengan Hoon, </w:t>
      </w:r>
      <w:r w:rsidR="00420895">
        <w:rPr>
          <w:rStyle w:val="SubtleEmphasis"/>
          <w:rFonts w:ascii="Times New Roman" w:hAnsi="Times New Roman" w:cs="Times New Roman"/>
          <w:i w:val="0"/>
          <w:color w:val="auto"/>
          <w:sz w:val="24"/>
          <w:szCs w:val="24"/>
        </w:rPr>
        <w:t>Brunner</w:t>
      </w:r>
      <w:r w:rsidRPr="00CC7BA7">
        <w:rPr>
          <w:rStyle w:val="SubtleEmphasis"/>
          <w:rFonts w:ascii="Times New Roman" w:hAnsi="Times New Roman" w:cs="Times New Roman"/>
          <w:i w:val="0"/>
          <w:color w:val="auto"/>
          <w:sz w:val="24"/>
          <w:szCs w:val="24"/>
        </w:rPr>
        <w:t xml:space="preserve"> seorang teolog Lutheran</w:t>
      </w:r>
      <w:r w:rsidR="00420895">
        <w:rPr>
          <w:rStyle w:val="SubtleEmphasis"/>
          <w:rFonts w:ascii="Times New Roman" w:hAnsi="Times New Roman" w:cs="Times New Roman"/>
          <w:i w:val="0"/>
          <w:color w:val="auto"/>
          <w:sz w:val="24"/>
          <w:szCs w:val="24"/>
        </w:rPr>
        <w:t>,</w:t>
      </w:r>
      <w:r w:rsidRPr="00CC7BA7">
        <w:rPr>
          <w:rStyle w:val="SubtleEmphasis"/>
          <w:rFonts w:ascii="Times New Roman" w:hAnsi="Times New Roman" w:cs="Times New Roman"/>
          <w:i w:val="0"/>
          <w:color w:val="auto"/>
          <w:sz w:val="24"/>
          <w:szCs w:val="24"/>
        </w:rPr>
        <w:t xml:space="preserve"> menyatakan bah</w:t>
      </w:r>
      <w:r w:rsidR="00420895">
        <w:rPr>
          <w:rStyle w:val="SubtleEmphasis"/>
          <w:rFonts w:ascii="Times New Roman" w:hAnsi="Times New Roman" w:cs="Times New Roman"/>
          <w:i w:val="0"/>
          <w:color w:val="auto"/>
          <w:sz w:val="24"/>
          <w:szCs w:val="24"/>
        </w:rPr>
        <w:t>wa ibadah itu suatu kemungkinan</w:t>
      </w:r>
      <w:r w:rsidRPr="00CC7BA7">
        <w:rPr>
          <w:rStyle w:val="SubtleEmphasis"/>
          <w:rFonts w:ascii="Times New Roman" w:hAnsi="Times New Roman" w:cs="Times New Roman"/>
          <w:i w:val="0"/>
          <w:color w:val="auto"/>
          <w:sz w:val="24"/>
          <w:szCs w:val="24"/>
        </w:rPr>
        <w:t xml:space="preserve"> </w:t>
      </w:r>
      <w:r w:rsidR="00420895">
        <w:rPr>
          <w:rStyle w:val="SubtleEmphasis"/>
          <w:rFonts w:ascii="Times New Roman" w:hAnsi="Times New Roman" w:cs="Times New Roman"/>
          <w:i w:val="0"/>
          <w:color w:val="auto"/>
          <w:sz w:val="24"/>
          <w:szCs w:val="24"/>
        </w:rPr>
        <w:t>p</w:t>
      </w:r>
      <w:r w:rsidRPr="00CC7BA7">
        <w:rPr>
          <w:rStyle w:val="SubtleEmphasis"/>
          <w:rFonts w:ascii="Times New Roman" w:hAnsi="Times New Roman" w:cs="Times New Roman"/>
          <w:i w:val="0"/>
          <w:color w:val="auto"/>
          <w:sz w:val="24"/>
          <w:szCs w:val="24"/>
        </w:rPr>
        <w:t xml:space="preserve">emberian Allah </w:t>
      </w:r>
      <w:r w:rsidR="00420895">
        <w:rPr>
          <w:rStyle w:val="SubtleEmphasis"/>
          <w:rFonts w:ascii="Times New Roman" w:hAnsi="Times New Roman" w:cs="Times New Roman"/>
          <w:i w:val="0"/>
          <w:color w:val="auto"/>
          <w:sz w:val="24"/>
          <w:szCs w:val="24"/>
        </w:rPr>
        <w:t xml:space="preserve">yang </w:t>
      </w:r>
      <w:r w:rsidRPr="00CC7BA7">
        <w:rPr>
          <w:rStyle w:val="SubtleEmphasis"/>
          <w:rFonts w:ascii="Times New Roman" w:hAnsi="Times New Roman" w:cs="Times New Roman"/>
          <w:i w:val="0"/>
          <w:color w:val="auto"/>
          <w:sz w:val="24"/>
          <w:szCs w:val="24"/>
        </w:rPr>
        <w:t>mengundang penyembahan manusia kepada</w:t>
      </w:r>
      <w:r w:rsidR="00420895">
        <w:rPr>
          <w:rStyle w:val="SubtleEmphasis"/>
          <w:rFonts w:ascii="Times New Roman" w:hAnsi="Times New Roman" w:cs="Times New Roman"/>
          <w:i w:val="0"/>
          <w:color w:val="auto"/>
          <w:sz w:val="24"/>
          <w:szCs w:val="24"/>
        </w:rPr>
        <w:t>-Nya.</w:t>
      </w:r>
      <w:r w:rsidRPr="00CC7BA7">
        <w:rPr>
          <w:rStyle w:val="FootnoteReference"/>
          <w:rFonts w:ascii="Times New Roman" w:hAnsi="Times New Roman" w:cs="Times New Roman"/>
          <w:i/>
          <w:sz w:val="24"/>
          <w:szCs w:val="24"/>
        </w:rPr>
        <w:footnoteReference w:id="21"/>
      </w:r>
      <w:r w:rsidRPr="00CC7BA7">
        <w:rPr>
          <w:rStyle w:val="SubtleEmphasis"/>
          <w:rFonts w:ascii="Times New Roman" w:hAnsi="Times New Roman" w:cs="Times New Roman"/>
          <w:i w:val="0"/>
          <w:color w:val="auto"/>
          <w:sz w:val="24"/>
          <w:szCs w:val="24"/>
        </w:rPr>
        <w:t xml:space="preserve"> </w:t>
      </w:r>
      <w:r w:rsidR="00420895">
        <w:rPr>
          <w:rStyle w:val="SubtleEmphasis"/>
          <w:rFonts w:ascii="Times New Roman" w:hAnsi="Times New Roman" w:cs="Times New Roman"/>
          <w:i w:val="0"/>
          <w:color w:val="auto"/>
          <w:sz w:val="24"/>
          <w:szCs w:val="24"/>
        </w:rPr>
        <w:t xml:space="preserve">Dalam karya klasiknya, kesimpulan </w:t>
      </w:r>
      <w:r w:rsidRPr="00CC7BA7">
        <w:rPr>
          <w:rStyle w:val="SubtleEmphasis"/>
          <w:rFonts w:ascii="Times New Roman" w:hAnsi="Times New Roman" w:cs="Times New Roman"/>
          <w:i w:val="0"/>
          <w:color w:val="auto"/>
          <w:sz w:val="24"/>
          <w:szCs w:val="24"/>
        </w:rPr>
        <w:t xml:space="preserve">Underhill  </w:t>
      </w:r>
      <w:r w:rsidR="00420895">
        <w:rPr>
          <w:rStyle w:val="SubtleEmphasis"/>
          <w:rFonts w:ascii="Times New Roman" w:hAnsi="Times New Roman" w:cs="Times New Roman"/>
          <w:i w:val="0"/>
          <w:color w:val="auto"/>
          <w:sz w:val="24"/>
          <w:szCs w:val="24"/>
        </w:rPr>
        <w:t>dapat dirujuk sebagai patokan bahwa i</w:t>
      </w:r>
      <w:r w:rsidRPr="00CC7BA7">
        <w:rPr>
          <w:rStyle w:val="SubtleEmphasis"/>
          <w:rFonts w:ascii="Times New Roman" w:hAnsi="Times New Roman" w:cs="Times New Roman"/>
          <w:i w:val="0"/>
          <w:color w:val="auto"/>
          <w:sz w:val="24"/>
          <w:szCs w:val="24"/>
        </w:rPr>
        <w:t>badah Kristen khas oleh keberadaannya yang “selalu dikondisikan oleh kepercayaan Kristen; dan</w:t>
      </w:r>
      <w:r w:rsidR="00420895">
        <w:rPr>
          <w:rStyle w:val="SubtleEmphasis"/>
          <w:rFonts w:ascii="Times New Roman" w:hAnsi="Times New Roman" w:cs="Times New Roman"/>
          <w:i w:val="0"/>
          <w:color w:val="auto"/>
          <w:sz w:val="24"/>
          <w:szCs w:val="24"/>
        </w:rPr>
        <w:t xml:space="preserve"> khususnya kepercayaan tentang h</w:t>
      </w:r>
      <w:r w:rsidRPr="00CC7BA7">
        <w:rPr>
          <w:rStyle w:val="SubtleEmphasis"/>
          <w:rFonts w:ascii="Times New Roman" w:hAnsi="Times New Roman" w:cs="Times New Roman"/>
          <w:i w:val="0"/>
          <w:color w:val="auto"/>
          <w:sz w:val="24"/>
          <w:szCs w:val="24"/>
        </w:rPr>
        <w:t xml:space="preserve">akikat dan </w:t>
      </w:r>
      <w:r w:rsidR="00420895">
        <w:rPr>
          <w:rStyle w:val="SubtleEmphasis"/>
          <w:rFonts w:ascii="Times New Roman" w:hAnsi="Times New Roman" w:cs="Times New Roman"/>
          <w:i w:val="0"/>
          <w:color w:val="auto"/>
          <w:sz w:val="24"/>
          <w:szCs w:val="24"/>
        </w:rPr>
        <w:t>t</w:t>
      </w:r>
      <w:r w:rsidRPr="00CC7BA7">
        <w:rPr>
          <w:rStyle w:val="SubtleEmphasis"/>
          <w:rFonts w:ascii="Times New Roman" w:hAnsi="Times New Roman" w:cs="Times New Roman"/>
          <w:i w:val="0"/>
          <w:color w:val="auto"/>
          <w:sz w:val="24"/>
          <w:szCs w:val="24"/>
        </w:rPr>
        <w:t>indakan Allah, sebagaimana diringkaskan atau disimpulkan dalam dogma-dogma utama tentang Trinitas dan Inkarnasi.”</w:t>
      </w:r>
      <w:r w:rsidRPr="00CC7BA7">
        <w:rPr>
          <w:rStyle w:val="FootnoteReference"/>
          <w:rFonts w:ascii="Times New Roman" w:hAnsi="Times New Roman" w:cs="Times New Roman"/>
          <w:i/>
          <w:sz w:val="24"/>
          <w:szCs w:val="24"/>
        </w:rPr>
        <w:footnoteReference w:id="22"/>
      </w:r>
    </w:p>
    <w:p w14:paraId="0A1916D3" w14:textId="63B01AAE" w:rsidR="00420895" w:rsidRPr="00CC7BA7" w:rsidRDefault="00420895" w:rsidP="00F57C68">
      <w:pPr>
        <w:spacing w:after="0" w:line="288" w:lineRule="auto"/>
        <w:ind w:firstLine="567"/>
        <w:jc w:val="both"/>
        <w:rPr>
          <w:rFonts w:ascii="Times New Roman" w:eastAsia="Times New Roman" w:hAnsi="Times New Roman" w:cs="Times New Roman"/>
          <w:i/>
          <w:sz w:val="24"/>
          <w:szCs w:val="24"/>
          <w:lang w:eastAsia="id-ID"/>
        </w:rPr>
      </w:pPr>
      <w:r>
        <w:rPr>
          <w:rStyle w:val="SubtleEmphasis"/>
          <w:rFonts w:ascii="Times New Roman" w:hAnsi="Times New Roman" w:cs="Times New Roman"/>
          <w:i w:val="0"/>
          <w:color w:val="auto"/>
          <w:sz w:val="24"/>
          <w:szCs w:val="24"/>
        </w:rPr>
        <w:lastRenderedPageBreak/>
        <w:t xml:space="preserve">Seluruh definisi tersebut di atas memiliki satu benang merah bahwa dalam konsep kekristenan, ibadah memiliki dan hanya berkorelasi kepada Allah sang maha kuasa yang menjadi pencipta Alam semesta. </w:t>
      </w:r>
    </w:p>
    <w:p w14:paraId="7DF65DB7" w14:textId="77777777" w:rsidR="00CC7BA7" w:rsidRDefault="00CC7BA7" w:rsidP="00F57C68">
      <w:pPr>
        <w:spacing w:after="0" w:line="288" w:lineRule="auto"/>
        <w:ind w:firstLine="567"/>
        <w:jc w:val="both"/>
        <w:rPr>
          <w:rFonts w:ascii="Times New Roman" w:eastAsia="Times New Roman" w:hAnsi="Times New Roman" w:cs="Times New Roman"/>
          <w:sz w:val="24"/>
          <w:szCs w:val="24"/>
          <w:lang w:eastAsia="id-ID"/>
        </w:rPr>
      </w:pPr>
    </w:p>
    <w:p w14:paraId="6F762F76" w14:textId="27DC6A1D" w:rsidR="00CC7BA7" w:rsidRPr="00CC7BA7" w:rsidRDefault="00420895" w:rsidP="00F57C68">
      <w:pPr>
        <w:spacing w:after="0" w:line="288" w:lineRule="auto"/>
        <w:outlineLvl w:val="0"/>
        <w:rPr>
          <w:rFonts w:ascii="Times New Roman" w:hAnsi="Times New Roman" w:cs="Times New Roman"/>
          <w:b/>
          <w:sz w:val="24"/>
          <w:szCs w:val="24"/>
        </w:rPr>
      </w:pPr>
      <w:r>
        <w:rPr>
          <w:rFonts w:ascii="Times New Roman" w:hAnsi="Times New Roman" w:cs="Times New Roman"/>
          <w:b/>
          <w:sz w:val="24"/>
          <w:szCs w:val="24"/>
        </w:rPr>
        <w:t>Kesimpulan</w:t>
      </w:r>
    </w:p>
    <w:p w14:paraId="4BEDF6F5" w14:textId="5A161112" w:rsidR="00CF0EB7" w:rsidRDefault="00420895" w:rsidP="00F57C68">
      <w:pPr>
        <w:spacing w:after="0" w:line="288" w:lineRule="auto"/>
        <w:ind w:firstLine="567"/>
        <w:jc w:val="both"/>
        <w:rPr>
          <w:rStyle w:val="SubtleEmphasis"/>
          <w:rFonts w:ascii="Times New Roman" w:hAnsi="Times New Roman" w:cs="Times New Roman"/>
          <w:i w:val="0"/>
          <w:color w:val="auto"/>
          <w:sz w:val="24"/>
          <w:szCs w:val="24"/>
        </w:rPr>
      </w:pPr>
      <w:r>
        <w:rPr>
          <w:rStyle w:val="SubtleEmphasis"/>
          <w:rFonts w:ascii="Times New Roman" w:hAnsi="Times New Roman" w:cs="Times New Roman"/>
          <w:i w:val="0"/>
          <w:color w:val="auto"/>
          <w:sz w:val="24"/>
          <w:szCs w:val="24"/>
        </w:rPr>
        <w:t>I</w:t>
      </w:r>
      <w:r w:rsidR="00CC7BA7" w:rsidRPr="00CC7BA7">
        <w:rPr>
          <w:rStyle w:val="SubtleEmphasis"/>
          <w:rFonts w:ascii="Times New Roman" w:hAnsi="Times New Roman" w:cs="Times New Roman"/>
          <w:i w:val="0"/>
          <w:color w:val="auto"/>
          <w:sz w:val="24"/>
          <w:szCs w:val="24"/>
        </w:rPr>
        <w:t xml:space="preserve">badah </w:t>
      </w:r>
      <w:r>
        <w:rPr>
          <w:rStyle w:val="SubtleEmphasis"/>
          <w:rFonts w:ascii="Times New Roman" w:hAnsi="Times New Roman" w:cs="Times New Roman"/>
          <w:i w:val="0"/>
          <w:color w:val="auto"/>
          <w:sz w:val="24"/>
          <w:szCs w:val="24"/>
        </w:rPr>
        <w:t>yang sejati tidak terletak pada tata cara dan pelaksanaannya tetapi pada sikap hati yang dibawah oleh orang-orang yang sedang memuji dan menyembah-Nya. Ekspresi sikap hati tersebut melahirkan berbagai bentuk perwujudan sukacita salah satunya adalah melalui tarian dan gerakan-gerakan menari lainnya. Emosi terlibat karena penyembahan dilakukan dalam rangka kecintaan terhadap Tuhan. Puncaknya adalah keintiman dengan Tuhan.</w:t>
      </w:r>
      <w:r w:rsidR="00CC7BA7" w:rsidRPr="00CC7BA7">
        <w:rPr>
          <w:rStyle w:val="SubtleEmphasis"/>
          <w:rFonts w:ascii="Times New Roman" w:hAnsi="Times New Roman" w:cs="Times New Roman"/>
          <w:i w:val="0"/>
          <w:color w:val="auto"/>
          <w:sz w:val="24"/>
          <w:szCs w:val="24"/>
        </w:rPr>
        <w:t xml:space="preserve"> Esensi </w:t>
      </w:r>
      <w:r>
        <w:rPr>
          <w:rStyle w:val="SubtleEmphasis"/>
          <w:rFonts w:ascii="Times New Roman" w:hAnsi="Times New Roman" w:cs="Times New Roman"/>
          <w:i w:val="0"/>
          <w:color w:val="auto"/>
          <w:sz w:val="24"/>
          <w:szCs w:val="24"/>
        </w:rPr>
        <w:t xml:space="preserve">yang ingin diperlihatkan adalah </w:t>
      </w:r>
      <w:r w:rsidR="00CC7BA7" w:rsidRPr="00CC7BA7">
        <w:rPr>
          <w:rStyle w:val="SubtleEmphasis"/>
          <w:rFonts w:ascii="Times New Roman" w:hAnsi="Times New Roman" w:cs="Times New Roman"/>
          <w:i w:val="0"/>
          <w:color w:val="auto"/>
          <w:sz w:val="24"/>
          <w:szCs w:val="24"/>
        </w:rPr>
        <w:t xml:space="preserve">bagaimana orang Kristen merespon karya Allah yang sudah nyata di dalam hidupnya. </w:t>
      </w:r>
      <w:r>
        <w:rPr>
          <w:rStyle w:val="SubtleEmphasis"/>
          <w:rFonts w:ascii="Times New Roman" w:hAnsi="Times New Roman" w:cs="Times New Roman"/>
          <w:i w:val="0"/>
          <w:color w:val="auto"/>
          <w:sz w:val="24"/>
          <w:szCs w:val="24"/>
        </w:rPr>
        <w:t xml:space="preserve">Disadari bahwa </w:t>
      </w:r>
      <w:r w:rsidR="00CC7BA7" w:rsidRPr="00CC7BA7">
        <w:rPr>
          <w:rStyle w:val="SubtleEmphasis"/>
          <w:rFonts w:ascii="Times New Roman" w:hAnsi="Times New Roman" w:cs="Times New Roman"/>
          <w:i w:val="0"/>
          <w:color w:val="auto"/>
          <w:sz w:val="24"/>
          <w:szCs w:val="24"/>
        </w:rPr>
        <w:t xml:space="preserve">perbedaan ekspresi </w:t>
      </w:r>
      <w:r>
        <w:rPr>
          <w:rStyle w:val="SubtleEmphasis"/>
          <w:rFonts w:ascii="Times New Roman" w:hAnsi="Times New Roman" w:cs="Times New Roman"/>
          <w:i w:val="0"/>
          <w:color w:val="auto"/>
          <w:sz w:val="24"/>
          <w:szCs w:val="24"/>
        </w:rPr>
        <w:t xml:space="preserve">di dalam menyatakan kecintaan terhadap Tuhan bukanlah sebuah </w:t>
      </w:r>
      <w:r>
        <w:rPr>
          <w:rStyle w:val="SubtleEmphasis"/>
          <w:rFonts w:ascii="Times New Roman" w:hAnsi="Times New Roman" w:cs="Times New Roman"/>
          <w:color w:val="auto"/>
          <w:sz w:val="24"/>
          <w:szCs w:val="24"/>
        </w:rPr>
        <w:t xml:space="preserve">prejudice </w:t>
      </w:r>
      <w:r w:rsidRPr="00420895">
        <w:rPr>
          <w:rStyle w:val="SubtleEmphasis"/>
          <w:rFonts w:ascii="Times New Roman" w:hAnsi="Times New Roman" w:cs="Times New Roman"/>
          <w:i w:val="0"/>
          <w:color w:val="auto"/>
          <w:sz w:val="24"/>
          <w:szCs w:val="24"/>
        </w:rPr>
        <w:t>bahwa seseorang</w:t>
      </w:r>
      <w:r>
        <w:rPr>
          <w:rStyle w:val="SubtleEmphasis"/>
          <w:rFonts w:ascii="Times New Roman" w:hAnsi="Times New Roman" w:cs="Times New Roman"/>
          <w:i w:val="0"/>
          <w:color w:val="auto"/>
          <w:sz w:val="24"/>
          <w:szCs w:val="24"/>
        </w:rPr>
        <w:t xml:space="preserve"> tidak mencintai Tuhan. Sebaliknya, penyembahan yang ekspresif dan disampaikan dalam bentuk tarian juga tidak boleh dihakimi sebagai sesuatu yang salah. Teologi Kristen menerima hal ini sebagai sebuah kebenaran</w:t>
      </w:r>
      <w:r w:rsidR="00663A49">
        <w:rPr>
          <w:rStyle w:val="SubtleEmphasis"/>
          <w:rFonts w:ascii="Times New Roman" w:hAnsi="Times New Roman" w:cs="Times New Roman"/>
          <w:i w:val="0"/>
          <w:color w:val="auto"/>
          <w:sz w:val="24"/>
          <w:szCs w:val="24"/>
        </w:rPr>
        <w:t>. Oleh sebab itu</w:t>
      </w:r>
      <w:r w:rsidR="00CC7BA7" w:rsidRPr="00CC7BA7">
        <w:rPr>
          <w:rStyle w:val="SubtleEmphasis"/>
          <w:rFonts w:ascii="Times New Roman" w:hAnsi="Times New Roman" w:cs="Times New Roman"/>
          <w:i w:val="0"/>
          <w:color w:val="auto"/>
          <w:sz w:val="24"/>
          <w:szCs w:val="24"/>
        </w:rPr>
        <w:t xml:space="preserve"> jemaat yang beribadah dengan </w:t>
      </w:r>
      <w:r w:rsidR="00663A49">
        <w:rPr>
          <w:rStyle w:val="SubtleEmphasis"/>
          <w:rFonts w:ascii="Times New Roman" w:hAnsi="Times New Roman" w:cs="Times New Roman"/>
          <w:i w:val="0"/>
          <w:color w:val="auto"/>
          <w:sz w:val="24"/>
          <w:szCs w:val="24"/>
        </w:rPr>
        <w:t xml:space="preserve">pemahaman teologis yang benar, </w:t>
      </w:r>
      <w:r w:rsidR="00CC7BA7" w:rsidRPr="00CC7BA7">
        <w:rPr>
          <w:rStyle w:val="SubtleEmphasis"/>
          <w:rFonts w:ascii="Times New Roman" w:hAnsi="Times New Roman" w:cs="Times New Roman"/>
          <w:i w:val="0"/>
          <w:color w:val="auto"/>
          <w:sz w:val="24"/>
          <w:szCs w:val="24"/>
        </w:rPr>
        <w:t xml:space="preserve">tidak perlu ragu maupun takut untuk menggunakan tubuh </w:t>
      </w:r>
      <w:r w:rsidR="00663A49">
        <w:rPr>
          <w:rStyle w:val="SubtleEmphasis"/>
          <w:rFonts w:ascii="Times New Roman" w:hAnsi="Times New Roman" w:cs="Times New Roman"/>
          <w:i w:val="0"/>
          <w:color w:val="auto"/>
          <w:sz w:val="24"/>
          <w:szCs w:val="24"/>
        </w:rPr>
        <w:t xml:space="preserve">sebagai alat penyembahan kepada Tuhan. </w:t>
      </w:r>
      <w:bookmarkStart w:id="1" w:name="_Hlk535579811"/>
    </w:p>
    <w:p w14:paraId="1B99C60B" w14:textId="767A5423" w:rsidR="00663A49" w:rsidRDefault="00663A49" w:rsidP="00F57C68">
      <w:pPr>
        <w:spacing w:after="0" w:line="288" w:lineRule="auto"/>
        <w:ind w:firstLine="567"/>
        <w:jc w:val="both"/>
        <w:rPr>
          <w:rStyle w:val="SubtleEmphasis"/>
          <w:rFonts w:ascii="Times New Roman" w:hAnsi="Times New Roman" w:cs="Times New Roman"/>
          <w:i w:val="0"/>
          <w:color w:val="auto"/>
          <w:sz w:val="24"/>
          <w:szCs w:val="24"/>
        </w:rPr>
      </w:pPr>
      <w:r w:rsidRPr="00663A49">
        <w:rPr>
          <w:rStyle w:val="SubtleEmphasis"/>
          <w:rFonts w:ascii="Times New Roman" w:hAnsi="Times New Roman" w:cs="Times New Roman"/>
          <w:b/>
          <w:i w:val="0"/>
          <w:color w:val="auto"/>
          <w:sz w:val="24"/>
          <w:szCs w:val="24"/>
        </w:rPr>
        <w:t>Kontribusi Penelitian</w:t>
      </w:r>
      <w:r>
        <w:rPr>
          <w:rStyle w:val="SubtleEmphasis"/>
          <w:rFonts w:ascii="Times New Roman" w:hAnsi="Times New Roman" w:cs="Times New Roman"/>
          <w:i w:val="0"/>
          <w:color w:val="auto"/>
          <w:sz w:val="24"/>
          <w:szCs w:val="24"/>
        </w:rPr>
        <w:t>: Hasil penelitian ini memberikan sumbangan di dalam teologi praktika dan liturgika gereja terutama dalam membangun landasan teologis terhadap tarian di dalam penyembahan kristiani.</w:t>
      </w:r>
    </w:p>
    <w:p w14:paraId="4DFAC5B0" w14:textId="2A77C96C" w:rsidR="00663A49" w:rsidRPr="00223701" w:rsidRDefault="00663A49" w:rsidP="00F57C68">
      <w:pPr>
        <w:spacing w:after="0" w:line="288" w:lineRule="auto"/>
        <w:ind w:firstLine="567"/>
        <w:jc w:val="both"/>
        <w:rPr>
          <w:rFonts w:ascii="Times New Roman" w:hAnsi="Times New Roman" w:cs="Times New Roman"/>
          <w:sz w:val="24"/>
          <w:szCs w:val="24"/>
        </w:rPr>
      </w:pPr>
      <w:r w:rsidRPr="00663A49">
        <w:rPr>
          <w:rStyle w:val="SubtleEmphasis"/>
          <w:rFonts w:ascii="Times New Roman" w:hAnsi="Times New Roman" w:cs="Times New Roman"/>
          <w:b/>
          <w:i w:val="0"/>
          <w:color w:val="auto"/>
          <w:sz w:val="24"/>
          <w:szCs w:val="24"/>
        </w:rPr>
        <w:t>Rekomendasi Penelitian Lanjut</w:t>
      </w:r>
      <w:r>
        <w:rPr>
          <w:rStyle w:val="SubtleEmphasis"/>
          <w:rFonts w:ascii="Times New Roman" w:hAnsi="Times New Roman" w:cs="Times New Roman"/>
          <w:i w:val="0"/>
          <w:color w:val="auto"/>
          <w:sz w:val="24"/>
          <w:szCs w:val="24"/>
        </w:rPr>
        <w:t>: Penelitian ini dapat dilanjutkan dengan mencari faktor-faktor doktrinal, budaya, psikologis atau sosiologis yang menghalangi pemahaman orang Kristen di dalam melaksanakan tarian saat beribadah di gereja.</w:t>
      </w:r>
    </w:p>
    <w:bookmarkEnd w:id="1"/>
    <w:p w14:paraId="0327FFB5" w14:textId="77777777" w:rsidR="00630F9A" w:rsidRPr="00843EB2" w:rsidRDefault="00630F9A" w:rsidP="005F357A">
      <w:pPr>
        <w:spacing w:after="0"/>
        <w:ind w:firstLine="720"/>
        <w:jc w:val="both"/>
        <w:rPr>
          <w:rFonts w:ascii="Times New Roman" w:hAnsi="Times New Roman" w:cs="Times New Roman"/>
          <w:szCs w:val="24"/>
          <w:lang w:val="id-ID"/>
        </w:rPr>
      </w:pPr>
    </w:p>
    <w:p w14:paraId="3089690B" w14:textId="77777777" w:rsidR="00153555" w:rsidRPr="00843EB2" w:rsidRDefault="00153555" w:rsidP="005F357A">
      <w:pPr>
        <w:pStyle w:val="FootnoteText"/>
        <w:spacing w:line="276" w:lineRule="auto"/>
        <w:rPr>
          <w:sz w:val="22"/>
          <w:szCs w:val="24"/>
          <w:lang w:val="id-ID"/>
        </w:rPr>
        <w:sectPr w:rsidR="00153555" w:rsidRPr="00843EB2" w:rsidSect="00DA7147">
          <w:type w:val="continuous"/>
          <w:pgSz w:w="11907" w:h="16840" w:code="9"/>
          <w:pgMar w:top="1412" w:right="1411" w:bottom="1411" w:left="1699" w:header="1134" w:footer="1134" w:gutter="0"/>
          <w:pgNumType w:start="1"/>
          <w:cols w:space="284"/>
          <w:noEndnote/>
          <w:docGrid w:linePitch="326"/>
        </w:sectPr>
      </w:pPr>
    </w:p>
    <w:p w14:paraId="27E500EC" w14:textId="77777777" w:rsidR="00BA69AB" w:rsidRPr="00843EB2" w:rsidRDefault="00BA69AB" w:rsidP="005F357A">
      <w:pPr>
        <w:spacing w:after="0"/>
        <w:jc w:val="both"/>
        <w:rPr>
          <w:rFonts w:ascii="Times New Roman" w:hAnsi="Times New Roman" w:cs="Times New Roman"/>
          <w:b/>
          <w:sz w:val="24"/>
          <w:szCs w:val="24"/>
        </w:rPr>
      </w:pPr>
      <w:r w:rsidRPr="00843EB2">
        <w:rPr>
          <w:rFonts w:ascii="Times New Roman" w:hAnsi="Times New Roman" w:cs="Times New Roman"/>
          <w:b/>
          <w:sz w:val="24"/>
          <w:szCs w:val="24"/>
        </w:rPr>
        <w:lastRenderedPageBreak/>
        <w:t>Daftar Pustaka</w:t>
      </w:r>
    </w:p>
    <w:p w14:paraId="22D6F75D" w14:textId="77777777" w:rsidR="00E713A9" w:rsidRPr="00843EB2" w:rsidRDefault="00E713A9" w:rsidP="005F357A">
      <w:pPr>
        <w:spacing w:after="0"/>
        <w:ind w:left="709" w:hanging="709"/>
        <w:rPr>
          <w:rFonts w:ascii="Times New Roman" w:hAnsi="Times New Roman" w:cs="Times New Roman"/>
          <w:sz w:val="24"/>
          <w:szCs w:val="24"/>
        </w:rPr>
        <w:sectPr w:rsidR="00E713A9" w:rsidRPr="00843EB2" w:rsidSect="006F3975">
          <w:type w:val="continuous"/>
          <w:pgSz w:w="11907" w:h="16840" w:code="9"/>
          <w:pgMar w:top="1701" w:right="1418" w:bottom="1418" w:left="1701" w:header="1134" w:footer="1134" w:gutter="0"/>
          <w:pgNumType w:start="115"/>
          <w:cols w:space="284"/>
          <w:noEndnote/>
          <w:docGrid w:linePitch="326"/>
        </w:sectPr>
      </w:pPr>
    </w:p>
    <w:p w14:paraId="7C956AE3" w14:textId="179757ED" w:rsidR="00663A49" w:rsidRPr="00663A49" w:rsidRDefault="00223701"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Pr>
          <w:rFonts w:ascii="Times New Roman" w:hAnsi="Times New Roman" w:cs="Times New Roman"/>
          <w:sz w:val="24"/>
          <w:szCs w:val="24"/>
        </w:rPr>
        <w:lastRenderedPageBreak/>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663A49" w:rsidRPr="00663A49">
        <w:rPr>
          <w:rFonts w:ascii="Times New Roman" w:hAnsi="Times New Roman" w:cs="Times New Roman"/>
          <w:noProof/>
          <w:sz w:val="24"/>
          <w:szCs w:val="24"/>
        </w:rPr>
        <w:t xml:space="preserve">Berchie, Daniel. “Dancing Before the Lord (2 Sam 6:14).” </w:t>
      </w:r>
      <w:r w:rsidR="00663A49" w:rsidRPr="00663A49">
        <w:rPr>
          <w:rFonts w:ascii="Times New Roman" w:hAnsi="Times New Roman" w:cs="Times New Roman"/>
          <w:i/>
          <w:iCs/>
          <w:noProof/>
          <w:sz w:val="24"/>
          <w:szCs w:val="24"/>
        </w:rPr>
        <w:t>Catalyst</w:t>
      </w:r>
      <w:r w:rsidR="00663A49" w:rsidRPr="00663A49">
        <w:rPr>
          <w:rFonts w:ascii="Times New Roman" w:hAnsi="Times New Roman" w:cs="Times New Roman"/>
          <w:noProof/>
          <w:sz w:val="24"/>
          <w:szCs w:val="24"/>
        </w:rPr>
        <w:t xml:space="preserve"> 9, no. 1 (2014): 72–77. Accessed January 27, 2021. https://www.academia.edu/34549951/Dancing_Before_the_Lord_2_Sam_6_14.</w:t>
      </w:r>
    </w:p>
    <w:p w14:paraId="0B328087"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Brunner, Peter. </w:t>
      </w:r>
      <w:r w:rsidRPr="00663A49">
        <w:rPr>
          <w:rFonts w:ascii="Times New Roman" w:hAnsi="Times New Roman" w:cs="Times New Roman"/>
          <w:i/>
          <w:iCs/>
          <w:noProof/>
          <w:sz w:val="24"/>
          <w:szCs w:val="24"/>
        </w:rPr>
        <w:t>Worship in the Name of Jesus</w:t>
      </w:r>
      <w:r w:rsidRPr="00663A49">
        <w:rPr>
          <w:rFonts w:ascii="Times New Roman" w:hAnsi="Times New Roman" w:cs="Times New Roman"/>
          <w:noProof/>
          <w:sz w:val="24"/>
          <w:szCs w:val="24"/>
        </w:rPr>
        <w:t>. St. Louis: Concordia, 1968.</w:t>
      </w:r>
    </w:p>
    <w:p w14:paraId="2B796A79"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Christimoty, Debora Nugrahenny. “Teologi Ibadah Dan Kualitas Penyelenggaraaan Ibadah: Sebuah Pengantar.” </w:t>
      </w:r>
      <w:r w:rsidRPr="00663A49">
        <w:rPr>
          <w:rFonts w:ascii="Times New Roman" w:hAnsi="Times New Roman" w:cs="Times New Roman"/>
          <w:i/>
          <w:iCs/>
          <w:noProof/>
          <w:sz w:val="24"/>
          <w:szCs w:val="24"/>
        </w:rPr>
        <w:t>PASCA : Jurnal Teologi dan Pendidikan Agama Kristen</w:t>
      </w:r>
      <w:r w:rsidRPr="00663A49">
        <w:rPr>
          <w:rFonts w:ascii="Times New Roman" w:hAnsi="Times New Roman" w:cs="Times New Roman"/>
          <w:noProof/>
          <w:sz w:val="24"/>
          <w:szCs w:val="24"/>
        </w:rPr>
        <w:t xml:space="preserve"> (2019).</w:t>
      </w:r>
    </w:p>
    <w:p w14:paraId="6BF67CF8"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Coleman, Lucinda. “Renewal Journal 6.” </w:t>
      </w:r>
      <w:r w:rsidRPr="00663A49">
        <w:rPr>
          <w:rFonts w:ascii="Times New Roman" w:hAnsi="Times New Roman" w:cs="Times New Roman"/>
          <w:i/>
          <w:iCs/>
          <w:noProof/>
          <w:sz w:val="24"/>
          <w:szCs w:val="24"/>
        </w:rPr>
        <w:t>Renewal Journal</w:t>
      </w:r>
      <w:r w:rsidRPr="00663A49">
        <w:rPr>
          <w:rFonts w:ascii="Times New Roman" w:hAnsi="Times New Roman" w:cs="Times New Roman"/>
          <w:noProof/>
          <w:sz w:val="24"/>
          <w:szCs w:val="24"/>
        </w:rPr>
        <w:t xml:space="preserve"> 2 (2011): 53–66.</w:t>
      </w:r>
    </w:p>
    <w:p w14:paraId="6A252E34"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Custer, John S. “The Psaltery, the Harp and the Fathers: A Biblical Image and Its Interpreters.” </w:t>
      </w:r>
      <w:r w:rsidRPr="00663A49">
        <w:rPr>
          <w:rFonts w:ascii="Times New Roman" w:hAnsi="Times New Roman" w:cs="Times New Roman"/>
          <w:i/>
          <w:iCs/>
          <w:noProof/>
          <w:sz w:val="24"/>
          <w:szCs w:val="24"/>
        </w:rPr>
        <w:t>The Downside Review</w:t>
      </w:r>
      <w:r w:rsidRPr="00663A49">
        <w:rPr>
          <w:rFonts w:ascii="Times New Roman" w:hAnsi="Times New Roman" w:cs="Times New Roman"/>
          <w:noProof/>
          <w:sz w:val="24"/>
          <w:szCs w:val="24"/>
        </w:rPr>
        <w:t xml:space="preserve"> 114, no. 394 (January 25, 1996): 19–31. http://journals.sagepub.com/doi/10.1177/001258069611439402.</w:t>
      </w:r>
    </w:p>
    <w:p w14:paraId="2F6A6153"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D., Handi Irawan, Kresnayana Yahya, Gideon Imanto Tanbunaan, Hans Geni Arthanto, The Paw Liang, Junianawaty Suhendra, and Bambang Budijanto. </w:t>
      </w:r>
      <w:r w:rsidRPr="00663A49">
        <w:rPr>
          <w:rFonts w:ascii="Times New Roman" w:hAnsi="Times New Roman" w:cs="Times New Roman"/>
          <w:i/>
          <w:iCs/>
          <w:noProof/>
          <w:sz w:val="24"/>
          <w:szCs w:val="24"/>
        </w:rPr>
        <w:t>Dinamika Spiritualitas Generasi Muda Kristen Indonesia</w:t>
      </w:r>
      <w:r w:rsidRPr="00663A49">
        <w:rPr>
          <w:rFonts w:ascii="Times New Roman" w:hAnsi="Times New Roman" w:cs="Times New Roman"/>
          <w:noProof/>
          <w:sz w:val="24"/>
          <w:szCs w:val="24"/>
        </w:rPr>
        <w:t xml:space="preserve">. Edited by Bambang Budijanto. </w:t>
      </w:r>
      <w:r w:rsidRPr="00663A49">
        <w:rPr>
          <w:rFonts w:ascii="Times New Roman" w:hAnsi="Times New Roman" w:cs="Times New Roman"/>
          <w:noProof/>
          <w:sz w:val="24"/>
          <w:szCs w:val="24"/>
        </w:rPr>
        <w:lastRenderedPageBreak/>
        <w:t>Jakarta: Yayasan Bilangan Research Center, 2018.</w:t>
      </w:r>
    </w:p>
    <w:p w14:paraId="1F247E3A"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Gilbert, Marvin. “Integrative Critical Analysis.” In </w:t>
      </w:r>
      <w:r w:rsidRPr="00663A49">
        <w:rPr>
          <w:rFonts w:ascii="Times New Roman" w:hAnsi="Times New Roman" w:cs="Times New Roman"/>
          <w:i/>
          <w:iCs/>
          <w:noProof/>
          <w:sz w:val="24"/>
          <w:szCs w:val="24"/>
        </w:rPr>
        <w:t>Missiological Research: Interdiisciplinary Foundations, Methods, and Integration</w:t>
      </w:r>
      <w:r w:rsidRPr="00663A49">
        <w:rPr>
          <w:rFonts w:ascii="Times New Roman" w:hAnsi="Times New Roman" w:cs="Times New Roman"/>
          <w:noProof/>
          <w:sz w:val="24"/>
          <w:szCs w:val="24"/>
        </w:rPr>
        <w:t>, edited by Marvin Gilbert, Alan R. Johnson, and Paul W. Lewis, 47–52. 1st ed. Pasadena, CA: William Carey Publishing, 2018.</w:t>
      </w:r>
    </w:p>
    <w:p w14:paraId="560B3F13"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Hoon, Paul W. </w:t>
      </w:r>
      <w:r w:rsidRPr="00663A49">
        <w:rPr>
          <w:rFonts w:ascii="Times New Roman" w:hAnsi="Times New Roman" w:cs="Times New Roman"/>
          <w:i/>
          <w:iCs/>
          <w:noProof/>
          <w:sz w:val="24"/>
          <w:szCs w:val="24"/>
        </w:rPr>
        <w:t>The Integrity of Worship</w:t>
      </w:r>
      <w:r w:rsidRPr="00663A49">
        <w:rPr>
          <w:rFonts w:ascii="Times New Roman" w:hAnsi="Times New Roman" w:cs="Times New Roman"/>
          <w:noProof/>
          <w:sz w:val="24"/>
          <w:szCs w:val="24"/>
        </w:rPr>
        <w:t>. Nashville: Abingdon Press, 1971.</w:t>
      </w:r>
    </w:p>
    <w:p w14:paraId="087FAB1A"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Luerssen, Jade. “The Evolution of Sacred Dance in the Judeo-Christian Tradition.” </w:t>
      </w:r>
      <w:r w:rsidRPr="00663A49">
        <w:rPr>
          <w:rFonts w:ascii="Times New Roman" w:hAnsi="Times New Roman" w:cs="Times New Roman"/>
          <w:i/>
          <w:iCs/>
          <w:noProof/>
          <w:sz w:val="24"/>
          <w:szCs w:val="24"/>
        </w:rPr>
        <w:t>Honors Projects</w:t>
      </w:r>
      <w:r w:rsidRPr="00663A49">
        <w:rPr>
          <w:rFonts w:ascii="Times New Roman" w:hAnsi="Times New Roman" w:cs="Times New Roman"/>
          <w:noProof/>
          <w:sz w:val="24"/>
          <w:szCs w:val="24"/>
        </w:rPr>
        <w:t xml:space="preserve"> (1967): 11–25.</w:t>
      </w:r>
    </w:p>
    <w:p w14:paraId="24D3A6D7"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Okafor, Peter Onyekwelu. “Incarnation As a Fundamental Hermeneutical Principle : The Case of Christian Theology and the Issue of Theological Education in Nigeria.” </w:t>
      </w:r>
      <w:r w:rsidRPr="00663A49">
        <w:rPr>
          <w:rFonts w:ascii="Times New Roman" w:hAnsi="Times New Roman" w:cs="Times New Roman"/>
          <w:i/>
          <w:iCs/>
          <w:noProof/>
          <w:sz w:val="24"/>
          <w:szCs w:val="24"/>
        </w:rPr>
        <w:t>Ministerium – Journal of Contextual Theology</w:t>
      </w:r>
      <w:r w:rsidRPr="00663A49">
        <w:rPr>
          <w:rFonts w:ascii="Times New Roman" w:hAnsi="Times New Roman" w:cs="Times New Roman"/>
          <w:noProof/>
          <w:sz w:val="24"/>
          <w:szCs w:val="24"/>
        </w:rPr>
        <w:t xml:space="preserve"> 2, no. 1 (2016): 1–23.</w:t>
      </w:r>
    </w:p>
    <w:p w14:paraId="66B447E4"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Olukayode, Ogunrinade Adewale, Samson Adetunji Fatokun, and Ogbole Friday Abu. “Spiritual and Physical Interpretation of Dance, Clap and Gesticulation in African Indigenous Churches in Nigeria.” </w:t>
      </w:r>
      <w:r w:rsidRPr="00663A49">
        <w:rPr>
          <w:rFonts w:ascii="Times New Roman" w:hAnsi="Times New Roman" w:cs="Times New Roman"/>
          <w:i/>
          <w:iCs/>
          <w:noProof/>
          <w:sz w:val="24"/>
          <w:szCs w:val="24"/>
        </w:rPr>
        <w:t>Journal of Philosophy, Culture and Religion</w:t>
      </w:r>
      <w:r w:rsidRPr="00663A49">
        <w:rPr>
          <w:rFonts w:ascii="Times New Roman" w:hAnsi="Times New Roman" w:cs="Times New Roman"/>
          <w:noProof/>
          <w:sz w:val="24"/>
          <w:szCs w:val="24"/>
        </w:rPr>
        <w:t xml:space="preserve"> 9 (2015): 4–10.</w:t>
      </w:r>
    </w:p>
    <w:p w14:paraId="2D36E21A"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Putri, Agustin Suwitomo. “Tips Dan Trik Pemilihan Dan Penyusunan Literature Review.” In </w:t>
      </w:r>
      <w:r w:rsidRPr="00663A49">
        <w:rPr>
          <w:rFonts w:ascii="Times New Roman" w:hAnsi="Times New Roman" w:cs="Times New Roman"/>
          <w:i/>
          <w:iCs/>
          <w:noProof/>
          <w:sz w:val="24"/>
          <w:szCs w:val="24"/>
        </w:rPr>
        <w:t>Strategi Menulis Jurnal Untuk Ilmu Teologi</w:t>
      </w:r>
      <w:r w:rsidRPr="00663A49">
        <w:rPr>
          <w:rFonts w:ascii="Times New Roman" w:hAnsi="Times New Roman" w:cs="Times New Roman"/>
          <w:noProof/>
          <w:sz w:val="24"/>
          <w:szCs w:val="24"/>
        </w:rPr>
        <w:t>, edited by Sonny Eli Zaluchu, 43–64. 1st ed. Semarang: Golden Gate Publishing, 2020.</w:t>
      </w:r>
    </w:p>
    <w:p w14:paraId="2D8CC4FB"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Ray, David R. “Gereja Yang Hidup.” 299. Jakarta: BPK Gunung Mulia, 2009.</w:t>
      </w:r>
    </w:p>
    <w:p w14:paraId="0C6D9A3E"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Schwarz, Christian. </w:t>
      </w:r>
      <w:r w:rsidRPr="00663A49">
        <w:rPr>
          <w:rFonts w:ascii="Times New Roman" w:hAnsi="Times New Roman" w:cs="Times New Roman"/>
          <w:i/>
          <w:iCs/>
          <w:noProof/>
          <w:sz w:val="24"/>
          <w:szCs w:val="24"/>
        </w:rPr>
        <w:t>Pertumbuhan Gereja Yang Alamiah (The Natural Church Growth]</w:t>
      </w:r>
      <w:r w:rsidRPr="00663A49">
        <w:rPr>
          <w:rFonts w:ascii="Times New Roman" w:hAnsi="Times New Roman" w:cs="Times New Roman"/>
          <w:noProof/>
          <w:sz w:val="24"/>
          <w:szCs w:val="24"/>
        </w:rPr>
        <w:t>. Jakarta: Metanoia, 1996.</w:t>
      </w:r>
    </w:p>
    <w:p w14:paraId="63C2F3D2"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Setiawan, Jimmy. “Menggagas Signifikansi Gestur Tubuh Dalam Ibadah Korporat Gereja-Gereja Protestan.” </w:t>
      </w:r>
      <w:r w:rsidRPr="00663A49">
        <w:rPr>
          <w:rFonts w:ascii="Times New Roman" w:hAnsi="Times New Roman" w:cs="Times New Roman"/>
          <w:i/>
          <w:iCs/>
          <w:noProof/>
          <w:sz w:val="24"/>
          <w:szCs w:val="24"/>
        </w:rPr>
        <w:t>Veritas : Jurnal Teologi dan Pelayanan</w:t>
      </w:r>
      <w:r w:rsidRPr="00663A49">
        <w:rPr>
          <w:rFonts w:ascii="Times New Roman" w:hAnsi="Times New Roman" w:cs="Times New Roman"/>
          <w:noProof/>
          <w:sz w:val="24"/>
          <w:szCs w:val="24"/>
        </w:rPr>
        <w:t xml:space="preserve"> 13, no. 1 (2012): 99–120.</w:t>
      </w:r>
    </w:p>
    <w:p w14:paraId="49109B13"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Shay, Anthony. “The Male Dancer in the Middle East and Central Asia.” </w:t>
      </w:r>
      <w:r w:rsidRPr="00663A49">
        <w:rPr>
          <w:rFonts w:ascii="Times New Roman" w:hAnsi="Times New Roman" w:cs="Times New Roman"/>
          <w:i/>
          <w:iCs/>
          <w:noProof/>
          <w:sz w:val="24"/>
          <w:szCs w:val="24"/>
        </w:rPr>
        <w:t>Dance Research Journal</w:t>
      </w:r>
      <w:r w:rsidRPr="00663A49">
        <w:rPr>
          <w:rFonts w:ascii="Times New Roman" w:hAnsi="Times New Roman" w:cs="Times New Roman"/>
          <w:noProof/>
          <w:sz w:val="24"/>
          <w:szCs w:val="24"/>
        </w:rPr>
        <w:t xml:space="preserve"> 38, no. 1–2 (2006): 137–162.</w:t>
      </w:r>
    </w:p>
    <w:p w14:paraId="1D1A154D"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Sheil, Karen. “Body, Dance, and Worship.” </w:t>
      </w:r>
      <w:r w:rsidRPr="00663A49">
        <w:rPr>
          <w:rFonts w:ascii="Times New Roman" w:hAnsi="Times New Roman" w:cs="Times New Roman"/>
          <w:i/>
          <w:iCs/>
          <w:noProof/>
          <w:sz w:val="24"/>
          <w:szCs w:val="24"/>
        </w:rPr>
        <w:t>McMaster Journal of Theology and Ministry</w:t>
      </w:r>
      <w:r w:rsidRPr="00663A49">
        <w:rPr>
          <w:rFonts w:ascii="Times New Roman" w:hAnsi="Times New Roman" w:cs="Times New Roman"/>
          <w:noProof/>
          <w:sz w:val="24"/>
          <w:szCs w:val="24"/>
        </w:rPr>
        <w:t>, no. 7 (2006): 23–32. https://www.mcmaster.ca/mjtm/pdfs/vol7/MJTM_7-2_Sheil.pdf.</w:t>
      </w:r>
    </w:p>
    <w:p w14:paraId="0CAFE5F2"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Strong, James. “A Concise Dictionary of the Words in the Hebrew Bible.” In </w:t>
      </w:r>
      <w:r w:rsidRPr="00663A49">
        <w:rPr>
          <w:rFonts w:ascii="Times New Roman" w:hAnsi="Times New Roman" w:cs="Times New Roman"/>
          <w:i/>
          <w:iCs/>
          <w:noProof/>
          <w:sz w:val="24"/>
          <w:szCs w:val="24"/>
        </w:rPr>
        <w:t>Strong’s Exhaustive Concordance of the Bible</w:t>
      </w:r>
      <w:r w:rsidRPr="00663A49">
        <w:rPr>
          <w:rFonts w:ascii="Times New Roman" w:hAnsi="Times New Roman" w:cs="Times New Roman"/>
          <w:noProof/>
          <w:sz w:val="24"/>
          <w:szCs w:val="24"/>
        </w:rPr>
        <w:t>. Iowa Falls: World Bible Publishers, 1986.</w:t>
      </w:r>
    </w:p>
    <w:p w14:paraId="53152684"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Underhill, Evelyn. </w:t>
      </w:r>
      <w:r w:rsidRPr="00663A49">
        <w:rPr>
          <w:rFonts w:ascii="Times New Roman" w:hAnsi="Times New Roman" w:cs="Times New Roman"/>
          <w:i/>
          <w:iCs/>
          <w:noProof/>
          <w:sz w:val="24"/>
          <w:szCs w:val="24"/>
        </w:rPr>
        <w:t>Worship</w:t>
      </w:r>
      <w:r w:rsidRPr="00663A49">
        <w:rPr>
          <w:rFonts w:ascii="Times New Roman" w:hAnsi="Times New Roman" w:cs="Times New Roman"/>
          <w:noProof/>
          <w:sz w:val="24"/>
          <w:szCs w:val="24"/>
        </w:rPr>
        <w:t>. London: Nisbet&amp;Co., 1936.</w:t>
      </w:r>
    </w:p>
    <w:p w14:paraId="6D73793B"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White, James F. </w:t>
      </w:r>
      <w:r w:rsidRPr="00663A49">
        <w:rPr>
          <w:rFonts w:ascii="Times New Roman" w:hAnsi="Times New Roman" w:cs="Times New Roman"/>
          <w:i/>
          <w:iCs/>
          <w:noProof/>
          <w:sz w:val="24"/>
          <w:szCs w:val="24"/>
        </w:rPr>
        <w:t>Pengantar Ibadah Kristen</w:t>
      </w:r>
      <w:r w:rsidRPr="00663A49">
        <w:rPr>
          <w:rFonts w:ascii="Times New Roman" w:hAnsi="Times New Roman" w:cs="Times New Roman"/>
          <w:noProof/>
          <w:sz w:val="24"/>
          <w:szCs w:val="24"/>
        </w:rPr>
        <w:t>. Jakarta: BPK Gunung Mulia, 2017.</w:t>
      </w:r>
    </w:p>
    <w:p w14:paraId="01FEC021"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Zaluchu, Sonny Eli. “Dancing in Praise of God: Reinterpretation of Theology in Worship.” </w:t>
      </w:r>
      <w:r w:rsidRPr="00663A49">
        <w:rPr>
          <w:rFonts w:ascii="Times New Roman" w:hAnsi="Times New Roman" w:cs="Times New Roman"/>
          <w:i/>
          <w:iCs/>
          <w:noProof/>
          <w:sz w:val="24"/>
          <w:szCs w:val="24"/>
        </w:rPr>
        <w:t>Theologia Viatorum</w:t>
      </w:r>
      <w:r w:rsidRPr="00663A49">
        <w:rPr>
          <w:rFonts w:ascii="Times New Roman" w:hAnsi="Times New Roman" w:cs="Times New Roman"/>
          <w:noProof/>
          <w:sz w:val="24"/>
          <w:szCs w:val="24"/>
        </w:rPr>
        <w:t xml:space="preserve"> 45, no. 1 (January 20, 2021): 1–5. https://theologiaviatorum.org/index.php/tv/article/view/86.</w:t>
      </w:r>
    </w:p>
    <w:p w14:paraId="251D507C"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szCs w:val="24"/>
        </w:rPr>
      </w:pPr>
      <w:r w:rsidRPr="00663A49">
        <w:rPr>
          <w:rFonts w:ascii="Times New Roman" w:hAnsi="Times New Roman" w:cs="Times New Roman"/>
          <w:noProof/>
          <w:sz w:val="24"/>
          <w:szCs w:val="24"/>
        </w:rPr>
        <w:t xml:space="preserve">———. “Deskripsi Tarian Maena Sebagai Identitas Suku Nias.” </w:t>
      </w:r>
      <w:r w:rsidRPr="00663A49">
        <w:rPr>
          <w:rFonts w:ascii="Times New Roman" w:hAnsi="Times New Roman" w:cs="Times New Roman"/>
          <w:i/>
          <w:iCs/>
          <w:noProof/>
          <w:sz w:val="24"/>
          <w:szCs w:val="24"/>
        </w:rPr>
        <w:t>Nyimak Journal of Communication</w:t>
      </w:r>
      <w:r w:rsidRPr="00663A49">
        <w:rPr>
          <w:rFonts w:ascii="Times New Roman" w:hAnsi="Times New Roman" w:cs="Times New Roman"/>
          <w:noProof/>
          <w:sz w:val="24"/>
          <w:szCs w:val="24"/>
        </w:rPr>
        <w:t xml:space="preserve"> 4, no. 1 (2020): 135–147.</w:t>
      </w:r>
    </w:p>
    <w:p w14:paraId="70A57C1D" w14:textId="77777777" w:rsidR="00663A49" w:rsidRPr="00663A49" w:rsidRDefault="00663A49" w:rsidP="00663A49">
      <w:pPr>
        <w:widowControl w:val="0"/>
        <w:autoSpaceDE w:val="0"/>
        <w:autoSpaceDN w:val="0"/>
        <w:adjustRightInd w:val="0"/>
        <w:spacing w:line="240" w:lineRule="auto"/>
        <w:ind w:left="480" w:hanging="480"/>
        <w:rPr>
          <w:rFonts w:ascii="Times New Roman" w:hAnsi="Times New Roman" w:cs="Times New Roman"/>
          <w:noProof/>
          <w:sz w:val="24"/>
        </w:rPr>
      </w:pPr>
      <w:r w:rsidRPr="00663A49">
        <w:rPr>
          <w:rFonts w:ascii="Times New Roman" w:hAnsi="Times New Roman" w:cs="Times New Roman"/>
          <w:noProof/>
          <w:sz w:val="24"/>
          <w:szCs w:val="24"/>
        </w:rPr>
        <w:lastRenderedPageBreak/>
        <w:t xml:space="preserve">Zaro Vera, Juan Jesús. “Literature as Study and Resource: The Purposes of English Literature Teaching at University Level.” </w:t>
      </w:r>
      <w:r w:rsidRPr="00663A49">
        <w:rPr>
          <w:rFonts w:ascii="Times New Roman" w:hAnsi="Times New Roman" w:cs="Times New Roman"/>
          <w:i/>
          <w:iCs/>
          <w:noProof/>
          <w:sz w:val="24"/>
          <w:szCs w:val="24"/>
        </w:rPr>
        <w:t>Revista Alicantina de Estudios Ingleses</w:t>
      </w:r>
      <w:r w:rsidRPr="00663A49">
        <w:rPr>
          <w:rFonts w:ascii="Times New Roman" w:hAnsi="Times New Roman" w:cs="Times New Roman"/>
          <w:noProof/>
          <w:sz w:val="24"/>
          <w:szCs w:val="24"/>
        </w:rPr>
        <w:t>, no. 4 (1991): 163–175. http://hdl.handle.net/10045/5497.</w:t>
      </w:r>
    </w:p>
    <w:p w14:paraId="0AF9F7EF" w14:textId="0E89F3F3" w:rsidR="00002DF4" w:rsidRPr="00223701" w:rsidRDefault="00223701" w:rsidP="00223701">
      <w:pPr>
        <w:rPr>
          <w:rFonts w:ascii="Times New Roman" w:hAnsi="Times New Roman" w:cs="Times New Roman"/>
          <w:sz w:val="24"/>
          <w:szCs w:val="24"/>
        </w:rPr>
      </w:pPr>
      <w:r>
        <w:rPr>
          <w:rFonts w:ascii="Times New Roman" w:hAnsi="Times New Roman" w:cs="Times New Roman"/>
          <w:sz w:val="24"/>
          <w:szCs w:val="24"/>
        </w:rPr>
        <w:fldChar w:fldCharType="end"/>
      </w:r>
    </w:p>
    <w:sectPr w:rsidR="00002DF4" w:rsidRPr="00223701" w:rsidSect="006F3975">
      <w:type w:val="continuous"/>
      <w:pgSz w:w="11907" w:h="16840" w:code="9"/>
      <w:pgMar w:top="1701" w:right="1418" w:bottom="1418" w:left="1701" w:header="1134" w:footer="1134" w:gutter="0"/>
      <w:pgNumType w:start="115"/>
      <w:cols w:space="284"/>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0ECFF" w14:textId="77777777" w:rsidR="004E05C2" w:rsidRDefault="004E05C2" w:rsidP="00585DDE">
      <w:pPr>
        <w:spacing w:after="0" w:line="240" w:lineRule="auto"/>
      </w:pPr>
      <w:r>
        <w:separator/>
      </w:r>
    </w:p>
  </w:endnote>
  <w:endnote w:type="continuationSeparator" w:id="0">
    <w:p w14:paraId="25439FA3" w14:textId="77777777" w:rsidR="004E05C2" w:rsidRDefault="004E05C2" w:rsidP="0058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4609698"/>
      <w:docPartObj>
        <w:docPartGallery w:val="Page Numbers (Bottom of Page)"/>
        <w:docPartUnique/>
      </w:docPartObj>
    </w:sdtPr>
    <w:sdtEndPr/>
    <w:sdtContent>
      <w:p w14:paraId="6B0BCD17" w14:textId="77777777" w:rsidR="00420895" w:rsidRDefault="00420895">
        <w:pPr>
          <w:pStyle w:val="Footer"/>
          <w:jc w:val="right"/>
        </w:pPr>
      </w:p>
      <w:p w14:paraId="03C38DCE" w14:textId="02B1F855" w:rsidR="00420895" w:rsidRDefault="004E05C2" w:rsidP="00DA7147">
        <w:pPr>
          <w:pStyle w:val="Footer"/>
        </w:pPr>
      </w:p>
    </w:sdtContent>
  </w:sdt>
  <w:p w14:paraId="6F4FEB83" w14:textId="77777777" w:rsidR="00420895" w:rsidRDefault="004208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193601"/>
      <w:docPartObj>
        <w:docPartGallery w:val="Page Numbers (Bottom of Page)"/>
        <w:docPartUnique/>
      </w:docPartObj>
    </w:sdtPr>
    <w:sdtEndPr/>
    <w:sdtContent>
      <w:p w14:paraId="6FDDBBF6" w14:textId="77777777" w:rsidR="00420895" w:rsidRDefault="00420895">
        <w:pPr>
          <w:pStyle w:val="Footer"/>
          <w:jc w:val="right"/>
        </w:pPr>
      </w:p>
      <w:p w14:paraId="7FE37681" w14:textId="221780B8" w:rsidR="00420895" w:rsidRDefault="004E05C2">
        <w:pPr>
          <w:pStyle w:val="Footer"/>
          <w:jc w:val="right"/>
        </w:pPr>
      </w:p>
    </w:sdtContent>
  </w:sdt>
  <w:p w14:paraId="076815D2" w14:textId="77777777" w:rsidR="00420895" w:rsidRDefault="004208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2D188" w14:textId="77777777" w:rsidR="00420895" w:rsidRPr="009434DA" w:rsidRDefault="00420895" w:rsidP="002A0647">
    <w:pPr>
      <w:pStyle w:val="Footer"/>
      <w:jc w:val="center"/>
      <w:rPr>
        <w:rFonts w:asciiTheme="majorHAnsi" w:hAnsiTheme="majorHAnsi"/>
      </w:rPr>
    </w:pPr>
    <w:r w:rsidRPr="009434DA">
      <w:rPr>
        <w:rFonts w:asciiTheme="majorHAnsi" w:hAnsiTheme="majorHAnsi"/>
      </w:rPr>
      <w:fldChar w:fldCharType="begin"/>
    </w:r>
    <w:r w:rsidRPr="009434DA">
      <w:rPr>
        <w:rFonts w:asciiTheme="majorHAnsi" w:hAnsiTheme="majorHAnsi"/>
      </w:rPr>
      <w:instrText xml:space="preserve"> PAGE   \* MERGEFORMAT </w:instrText>
    </w:r>
    <w:r w:rsidRPr="009434DA">
      <w:rPr>
        <w:rFonts w:asciiTheme="majorHAnsi" w:hAnsiTheme="majorHAnsi"/>
      </w:rPr>
      <w:fldChar w:fldCharType="separate"/>
    </w:r>
    <w:r>
      <w:rPr>
        <w:rFonts w:asciiTheme="majorHAnsi" w:hAnsiTheme="majorHAnsi"/>
        <w:noProof/>
      </w:rPr>
      <w:t>115</w:t>
    </w:r>
    <w:r w:rsidRPr="009434DA">
      <w:rPr>
        <w:rFonts w:asciiTheme="majorHAnsi" w:hAnsiTheme="majorHAns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EF553" w14:textId="77777777" w:rsidR="004E05C2" w:rsidRDefault="004E05C2" w:rsidP="00585DDE">
      <w:pPr>
        <w:spacing w:after="0" w:line="240" w:lineRule="auto"/>
      </w:pPr>
      <w:r>
        <w:separator/>
      </w:r>
    </w:p>
  </w:footnote>
  <w:footnote w:type="continuationSeparator" w:id="0">
    <w:p w14:paraId="69AABA85" w14:textId="77777777" w:rsidR="004E05C2" w:rsidRDefault="004E05C2" w:rsidP="00585DDE">
      <w:pPr>
        <w:spacing w:after="0" w:line="240" w:lineRule="auto"/>
      </w:pPr>
      <w:r>
        <w:continuationSeparator/>
      </w:r>
    </w:p>
  </w:footnote>
  <w:footnote w:id="1">
    <w:p w14:paraId="58231D8C" w14:textId="63451EB4" w:rsidR="00420895" w:rsidRDefault="00420895">
      <w:pPr>
        <w:pStyle w:val="FootnoteText"/>
      </w:pPr>
      <w:r>
        <w:rPr>
          <w:rStyle w:val="FootnoteReference"/>
        </w:rPr>
        <w:footnoteRef/>
      </w:r>
      <w:r>
        <w:t xml:space="preserve"> </w:t>
      </w:r>
      <w:r>
        <w:fldChar w:fldCharType="begin" w:fldLock="1"/>
      </w:r>
      <w:r>
        <w:instrText>ADDIN CSL_CITATION {"citationItems":[{"id":"ITEM-1","itemData":{"author":[{"dropping-particle":"","family":"Schwarz","given":"Christian","non-dropping-particle":"","parse-names":false,"suffix":""}],"id":"ITEM-1","issued":{"date-parts":[["1996"]]},"publisher":"Metanoia","publisher-place":"Jakarta","title":"Pertumbuhan Gereja yang Alamiah (The Natural Church Growth]","type":"book"},"uris":["http://www.mendeley.com/documents/?uuid=5fc08be8-026d-4de2-8e0c-e8242df511d3"]}],"mendeley":{"formattedCitation":"Christian Schwarz, &lt;i&gt;Pertumbuhan Gereja Yang Alamiah (The Natural Church Growth]&lt;/i&gt; (Jakarta: Metanoia, 1996).","plainTextFormattedCitation":"Christian Schwarz, Pertumbuhan Gereja Yang Alamiah (The Natural Church Growth] (Jakarta: Metanoia, 1996).","previouslyFormattedCitation":"Christian Schwarz, &lt;i&gt;Pertumbuhan Gereja Yang Alamiah (The Natural Church Growth]&lt;/i&gt; (Jakarta: Metanoia, 1996)."},"properties":{"noteIndex":1},"schema":"https://github.com/citation-style-language/schema/raw/master/csl-citation.json"}</w:instrText>
      </w:r>
      <w:r>
        <w:fldChar w:fldCharType="separate"/>
      </w:r>
      <w:r w:rsidRPr="003619EC">
        <w:rPr>
          <w:noProof/>
        </w:rPr>
        <w:t xml:space="preserve">Christian Schwarz, </w:t>
      </w:r>
      <w:r w:rsidRPr="003619EC">
        <w:rPr>
          <w:i/>
          <w:noProof/>
        </w:rPr>
        <w:t>Pertumbuhan Gereja Yang Alamiah (The Natural Church Growth]</w:t>
      </w:r>
      <w:r w:rsidRPr="003619EC">
        <w:rPr>
          <w:noProof/>
        </w:rPr>
        <w:t xml:space="preserve"> (Jakarta: Metanoia, 1996).</w:t>
      </w:r>
      <w:r>
        <w:fldChar w:fldCharType="end"/>
      </w:r>
    </w:p>
  </w:footnote>
  <w:footnote w:id="2">
    <w:p w14:paraId="13B0D753" w14:textId="548F30C7" w:rsidR="00420895" w:rsidRDefault="00420895" w:rsidP="00DE1FC4">
      <w:pPr>
        <w:pStyle w:val="FootnoteText"/>
      </w:pPr>
      <w:r>
        <w:rPr>
          <w:rStyle w:val="FootnoteReference"/>
        </w:rPr>
        <w:footnoteRef/>
      </w:r>
      <w:r>
        <w:t xml:space="preserve"> </w:t>
      </w:r>
      <w:r>
        <w:fldChar w:fldCharType="begin" w:fldLock="1"/>
      </w:r>
      <w:r>
        <w:instrText>ADDIN CSL_CITATION {"citationItems":[{"id":"ITEM-1","itemData":{"ISBN":"9786025224300","author":[{"dropping-particle":"","family":"D.","given":"Handi Irawan","non-dropping-particle":"","parse-names":false,"suffix":""},{"dropping-particle":"","family":"Yahya","given":"Kresnayana","non-dropping-particle":"","parse-names":false,"suffix":""},{"dropping-particle":"","family":"Tanbunaan","given":"Gideon Imanto","non-dropping-particle":"","parse-names":false,"suffix":""},{"dropping-particle":"","family":"Arthanto","given":"Hans Geni","non-dropping-particle":"","parse-names":false,"suffix":""},{"dropping-particle":"","family":"Liang","given":"The Paw","non-dropping-particle":"","parse-names":false,"suffix":""},{"dropping-particle":"","family":"Suhendra","given":"Junianawaty","non-dropping-particle":"","parse-names":false,"suffix":""},{"dropping-particle":"","family":"Budijanto","given":"Bambang","non-dropping-particle":"","parse-names":false,"suffix":""}],"editor":[{"dropping-particle":"","family":"Budijanto","given":"Bambang","non-dropping-particle":"","parse-names":false,"suffix":""}],"id":"ITEM-1","issued":{"date-parts":[["2018"]]},"number-of-pages":"177","publisher":"Yayasan Bilangan Research Center","publisher-place":"Jakarta","title":"Dinamika Spiritualitas Generasi Muda Kristen Indonesia","type":"book"},"uris":["http://www.mendeley.com/documents/?uuid=c3153c4c-4494-4d34-94c8-c68fa4764b9d","http://www.mendeley.com/documents/?uuid=9fe90b1d-0a3f-48ee-97e9-7a41b4b7149d"]}],"mendeley":{"formattedCitation":"Handi Irawan D. et al., &lt;i&gt;Dinamika Spiritualitas Generasi Muda Kristen Indonesia&lt;/i&gt;, ed. Bambang Budijanto (Jakarta: Yayasan Bilangan Research Center, 2018).","plainTextFormattedCitation":"Handi Irawan D. et al., Dinamika Spiritualitas Generasi Muda Kristen Indonesia, ed. Bambang Budijanto (Jakarta: Yayasan Bilangan Research Center, 2018).","previouslyFormattedCitation":"Handi Irawan D. et al., &lt;i&gt;Dinamika Spiritualitas Generasi Muda Kristen Indonesia&lt;/i&gt;, ed. Bambang Budijanto (Jakarta: Yayasan Bilangan Research Center, 2018)."},"properties":{"noteIndex":2},"schema":"https://github.com/citation-style-language/schema/raw/master/csl-citation.json"}</w:instrText>
      </w:r>
      <w:r>
        <w:fldChar w:fldCharType="separate"/>
      </w:r>
      <w:r w:rsidRPr="00223701">
        <w:rPr>
          <w:noProof/>
        </w:rPr>
        <w:t xml:space="preserve">Handi Irawan D. et al., </w:t>
      </w:r>
      <w:r w:rsidRPr="00223701">
        <w:rPr>
          <w:i/>
          <w:noProof/>
        </w:rPr>
        <w:t>Dinamika Spiritualitas Generasi Muda Kristen Indonesia</w:t>
      </w:r>
      <w:r w:rsidRPr="00223701">
        <w:rPr>
          <w:noProof/>
        </w:rPr>
        <w:t>, ed. Bambang Budijanto (Jakarta: Yayasan Bilangan Research Center, 2018).</w:t>
      </w:r>
      <w:r>
        <w:fldChar w:fldCharType="end"/>
      </w:r>
    </w:p>
  </w:footnote>
  <w:footnote w:id="3">
    <w:p w14:paraId="4665C7EB" w14:textId="0CC1344C" w:rsidR="00420895" w:rsidRDefault="00420895" w:rsidP="00DE1FC4">
      <w:pPr>
        <w:pStyle w:val="FootnoteText"/>
      </w:pPr>
      <w:r>
        <w:rPr>
          <w:rStyle w:val="FootnoteReference"/>
        </w:rPr>
        <w:footnoteRef/>
      </w:r>
      <w:r>
        <w:t xml:space="preserve"> </w:t>
      </w:r>
      <w:r>
        <w:fldChar w:fldCharType="begin" w:fldLock="1"/>
      </w:r>
      <w:r>
        <w:instrText>ADDIN CSL_CITATION {"citationItems":[{"id":"ITEM-1","itemData":{"DOI":"10.36421/veritas.v13i1.251","ISSN":"1411-7649","abstract":"Penulis akan mengkaji pemahaman yang biblikal tentang arti gestur penyembahan. Penulis akan mulai dengan survei ringkas tentang teologi tubuh di mana penulis menggali apa pandangan Alkitab terhadap tubuh. Saat mengupas teologi tubuh, penulis memperlihatkan implikasi-implikasi praktisnya terhadap penyembahan. Teologi tubuh penting untuk ditegakkan karena ini menjadi dasar bagi penulis untuk selanjutnya merumuskan tiga signifikansi dari gestur liturgikal yaitu sebagai pengungkapan, pelibatan, dan pembelajaran. Tentu saja keseluruhan artikel ini hendak menegaskan betapa pentingnya bagi kita untuk merangkul tindakan liturgikal sebagai salah satu sarana penting bagi pertumbuhan rohani setiap kita melalui konteks ibadah korporat.\r \r  ","author":[{"dropping-particle":"","family":"Setiawan","given":"Jimmy","non-dropping-particle":"","parse-names":false,"suffix":""}],"container-title":"Veritas : Jurnal Teologi dan Pelayanan","id":"ITEM-1","issue":"1","issued":{"date-parts":[["2012"]]},"page":"99-120","title":"Menggagas Signifikansi Gestur Tubuh dalam Ibadah Korporat Gereja-Gereja Protestan","type":"article-journal","volume":"13"},"uris":["http://www.mendeley.com/documents/?uuid=3d1a5331-baf1-4774-9dd1-18afd4190ad2","http://www.mendeley.com/documents/?uuid=75702458-37c3-4796-89d7-a7465b51b3fd","http://www.mendeley.com/documents/?uuid=0a81bb67-6c7b-493b-8b71-c32b6092813d"]}],"mendeley":{"formattedCitation":"Jimmy Setiawan, “Menggagas Signifikansi Gestur Tubuh Dalam Ibadah Korporat Gereja-Gereja Protestan,” &lt;i&gt;Veritas : Jurnal Teologi dan Pelayanan&lt;/i&gt; 13, no. 1 (2012): 99–120.","plainTextFormattedCitation":"Jimmy Setiawan, “Menggagas Signifikansi Gestur Tubuh Dalam Ibadah Korporat Gereja-Gereja Protestan,” Veritas : Jurnal Teologi dan Pelayanan 13, no. 1 (2012): 99–120.","previouslyFormattedCitation":"Jimmy Setiawan, “Menggagas Signifikansi Gestur Tubuh Dalam Ibadah Korporat Gereja-Gereja Protestan,” &lt;i&gt;Veritas : Jurnal Teologi dan Pelayanan&lt;/i&gt; 13, no. 1 (2012): 99–120."},"properties":{"noteIndex":3},"schema":"https://github.com/citation-style-language/schema/raw/master/csl-citation.json"}</w:instrText>
      </w:r>
      <w:r>
        <w:fldChar w:fldCharType="separate"/>
      </w:r>
      <w:r w:rsidRPr="001169D4">
        <w:rPr>
          <w:noProof/>
        </w:rPr>
        <w:t xml:space="preserve">Jimmy Setiawan, “Menggagas Signifikansi Gestur Tubuh Dalam Ibadah Korporat Gereja-Gereja Protestan,” </w:t>
      </w:r>
      <w:r w:rsidRPr="001169D4">
        <w:rPr>
          <w:i/>
          <w:noProof/>
        </w:rPr>
        <w:t>Veritas : Jurnal Teologi dan Pelayanan</w:t>
      </w:r>
      <w:r w:rsidRPr="001169D4">
        <w:rPr>
          <w:noProof/>
        </w:rPr>
        <w:t xml:space="preserve"> 13, no. 1 (2012): 99–120.</w:t>
      </w:r>
      <w:r>
        <w:fldChar w:fldCharType="end"/>
      </w:r>
    </w:p>
  </w:footnote>
  <w:footnote w:id="4">
    <w:p w14:paraId="5B8E6F67" w14:textId="19A3565A" w:rsidR="00420895" w:rsidRDefault="00420895">
      <w:pPr>
        <w:pStyle w:val="FootnoteText"/>
      </w:pPr>
      <w:r>
        <w:rPr>
          <w:rStyle w:val="FootnoteReference"/>
        </w:rPr>
        <w:footnoteRef/>
      </w:r>
      <w:r>
        <w:t xml:space="preserve"> </w:t>
      </w:r>
      <w:r>
        <w:fldChar w:fldCharType="begin" w:fldLock="1"/>
      </w:r>
      <w:r>
        <w:instrText>ADDIN CSL_CITATION {"citationItems":[{"id":"ITEM-1","itemData":{"DOI":"10.14198/raei.1991.4.14","ISSN":"0214-4808","abstract":"This papcr attempts to examine the two main purposes of the teaching of English literature at university Icvel in an EFL situation. The first, literature as study, is divided into two options. One is the type of teaching that considers literature as a cultural product for whose interpretation aspeets outside the literary work (historical, social, critical, biographical data) must be accounted for. The other is the stylistics option, dealing with the analysis of literary texis by examining thcir language. The second general purpose is the recent widespread use of literature as a resource for the teaching of the English language. In our opinión, it is the EFL environment which allows the implemcntation of the two aims, whose goals and methods are closely interlinked, providing as well a connection between the teaching of language and literature. Some suggestions for this implementation are offered in the specific case of Spanish universitics.","author":[{"dropping-particle":"","family":"Zaro Vera","given":"Juan Jesús","non-dropping-particle":"","parse-names":false,"suffix":""}],"container-title":"Revista Alicantina de Estudios Ingleses","id":"ITEM-1","issue":"4","issued":{"date-parts":[["1991"]]},"page":"163-175","title":"Literature as study and resource: the purposes of English literature teaching at university level","type":"article-journal"},"uris":["http://www.mendeley.com/documents/?uuid=f03248bf-ccc1-4552-9e1b-a145c3fd464f"]}],"mendeley":{"formattedCitation":"Juan Jesús Zaro Vera, “Literature as Study and Resource: The Purposes of English Literature Teaching at University Level,” &lt;i&gt;Revista Alicantina de Estudios Ingleses&lt;/i&gt;, no. 4 (1991): 163–175, http://hdl.handle.net/10045/5497.","plainTextFormattedCitation":"Juan Jesús Zaro Vera, “Literature as Study and Resource: The Purposes of English Literature Teaching at University Level,” Revista Alicantina de Estudios Ingleses, no. 4 (1991): 163–175, http://hdl.handle.net/10045/5497.","previouslyFormattedCitation":"Juan Jesús Zaro Vera, “Literature as Study and Resource: The Purposes of English Literature Teaching at University Level,” &lt;i&gt;Revista Alicantina de Estudios Ingleses&lt;/i&gt;, no. 4 (1991): 163–175, http://hdl.handle.net/10045/5497."},"properties":{"noteIndex":4},"schema":"https://github.com/citation-style-language/schema/raw/master/csl-citation.json"}</w:instrText>
      </w:r>
      <w:r>
        <w:fldChar w:fldCharType="separate"/>
      </w:r>
      <w:r w:rsidRPr="00672365">
        <w:rPr>
          <w:noProof/>
        </w:rPr>
        <w:t xml:space="preserve">Juan Jesús Zaro Vera, “Literature as Study and Resource: The Purposes of English Literature Teaching at University Level,” </w:t>
      </w:r>
      <w:r w:rsidRPr="00672365">
        <w:rPr>
          <w:i/>
          <w:noProof/>
        </w:rPr>
        <w:t>Revista Alicantina de Estudios Ingleses</w:t>
      </w:r>
      <w:r w:rsidRPr="00672365">
        <w:rPr>
          <w:noProof/>
        </w:rPr>
        <w:t>, no. 4 (1991): 163–175, http://hdl.handle.net/10045/5497.</w:t>
      </w:r>
      <w:r>
        <w:fldChar w:fldCharType="end"/>
      </w:r>
    </w:p>
  </w:footnote>
  <w:footnote w:id="5">
    <w:p w14:paraId="7899EC6B" w14:textId="0BC002EB" w:rsidR="00420895" w:rsidRDefault="00420895" w:rsidP="00DE1FC4">
      <w:pPr>
        <w:pStyle w:val="FootnoteText"/>
      </w:pPr>
      <w:r>
        <w:rPr>
          <w:rStyle w:val="FootnoteReference"/>
        </w:rPr>
        <w:footnoteRef/>
      </w:r>
      <w:r>
        <w:t xml:space="preserve"> </w:t>
      </w:r>
      <w:r>
        <w:fldChar w:fldCharType="begin" w:fldLock="1"/>
      </w:r>
      <w:r>
        <w:instrText>ADDIN CSL_CITATION {"citationItems":[{"id":"ITEM-1","itemData":{"author":[{"dropping-particle":"","family":"Putri","given":"Agustin Suwitomo","non-dropping-particle":"","parse-names":false,"suffix":""}],"chapter-number":"3","container-title":"Strategi Menulis Jurnal untuk Ilmu Teologi","edition":"1","editor":[{"dropping-particle":"","family":"Zaluchu","given":"Sonny Eli","non-dropping-particle":"","parse-names":false,"suffix":""}],"id":"ITEM-1","issued":{"date-parts":[["2020"]]},"page":"43-64","publisher":"Golden Gate Publishing","publisher-place":"Semarang","title":"Tips dan Trik Pemilihan dan Penyusunan Literature Review","type":"chapter"},"uris":["http://www.mendeley.com/documents/?uuid=16c81748-5df3-4752-80bc-616666bae46f"]}],"mendeley":{"formattedCitation":"Agustin Suwitomo Putri, “Tips Dan Trik Pemilihan Dan Penyusunan Literature Review,” in &lt;i&gt;Strategi Menulis Jurnal Untuk Ilmu Teologi&lt;/i&gt;, ed. Sonny Eli Zaluchu, 1st ed. (Semarang: Golden Gate Publishing, 2020), 43–64.","plainTextFormattedCitation":"Agustin Suwitomo Putri, “Tips Dan Trik Pemilihan Dan Penyusunan Literature Review,” in Strategi Menulis Jurnal Untuk Ilmu Teologi, ed. Sonny Eli Zaluchu, 1st ed. (Semarang: Golden Gate Publishing, 2020), 43–64.","previouslyFormattedCitation":"Agustin Suwitomo Putri, “Tips Dan Trik Pemilihan Dan Penyusunan Literature Review,” in &lt;i&gt;Strategi Menulis Jurnal Untuk Ilmu Teologi&lt;/i&gt;, ed. Sonny Eli Zaluchu, 1st ed. (Semarang: Golden Gate Publishing, 2020), 43–64."},"properties":{"noteIndex":5},"schema":"https://github.com/citation-style-language/schema/raw/master/csl-citation.json"}</w:instrText>
      </w:r>
      <w:r>
        <w:fldChar w:fldCharType="separate"/>
      </w:r>
      <w:r w:rsidRPr="0027052E">
        <w:rPr>
          <w:noProof/>
        </w:rPr>
        <w:t xml:space="preserve">Agustin Suwitomo Putri, “Tips Dan Trik Pemilihan Dan Penyusunan Literature Review,” in </w:t>
      </w:r>
      <w:r w:rsidRPr="0027052E">
        <w:rPr>
          <w:i/>
          <w:noProof/>
        </w:rPr>
        <w:t>Strategi Menulis Jurnal Untuk Ilmu Teologi</w:t>
      </w:r>
      <w:r w:rsidRPr="0027052E">
        <w:rPr>
          <w:noProof/>
        </w:rPr>
        <w:t>, ed. Sonny Eli Zaluchu, 1st ed. (Semarang: Golden Gate Publishing, 2020), 43–64.</w:t>
      </w:r>
      <w:r>
        <w:fldChar w:fldCharType="end"/>
      </w:r>
    </w:p>
  </w:footnote>
  <w:footnote w:id="6">
    <w:p w14:paraId="2A934650" w14:textId="6251DB97" w:rsidR="00420895" w:rsidRDefault="00420895">
      <w:pPr>
        <w:pStyle w:val="FootnoteText"/>
      </w:pPr>
      <w:r>
        <w:rPr>
          <w:rStyle w:val="FootnoteReference"/>
        </w:rPr>
        <w:footnoteRef/>
      </w:r>
      <w:r>
        <w:t xml:space="preserve"> </w:t>
      </w:r>
      <w:r>
        <w:fldChar w:fldCharType="begin" w:fldLock="1"/>
      </w:r>
      <w:r>
        <w:instrText>ADDIN CSL_CITATION {"citationItems":[{"id":"ITEM-1","itemData":{"author":[{"dropping-particle":"","family":"Gilbert","given":"Marvin","non-dropping-particle":"","parse-names":false,"suffix":""}],"chapter-number":"9","container-title":"Missiological Research: Interdiisciplinary Foundations, Methods, and Integration","edition":"1","editor":[{"dropping-particle":"","family":"Gilbert","given":"Marvin","non-dropping-particle":"","parse-names":false,"suffix":""},{"dropping-particle":"","family":"Johnson","given":"Alan R.","non-dropping-particle":"","parse-names":false,"suffix":""},{"dropping-particle":"","family":"Lewis","given":"Paul W.","non-dropping-particle":"","parse-names":false,"suffix":""}],"id":"ITEM-1","issued":{"date-parts":[["2018"]]},"page":"47-52","publisher":"William Carey Publishing","publisher-place":"Pasadena, CA","title":"Integrative Critical Analysis","type":"chapter"},"uris":["http://www.mendeley.com/documents/?uuid=88969a35-6625-4ca8-ae0d-ba980840f3a4"]}],"mendeley":{"formattedCitation":"Marvin Gilbert, “Integrative Critical Analysis,” in &lt;i&gt;Missiological Research: Interdiisciplinary Foundations, Methods, and Integration&lt;/i&gt;, ed. Marvin Gilbert, Alan R. Johnson, and Paul W. Lewis, 1st ed. (Pasadena, CA: William Carey Publishing, 2018), 47–52.","plainTextFormattedCitation":"Marvin Gilbert, “Integrative Critical Analysis,” in Missiological Research: Interdiisciplinary Foundations, Methods, and Integration, ed. Marvin Gilbert, Alan R. Johnson, and Paul W. Lewis, 1st ed. (Pasadena, CA: William Carey Publishing, 2018), 47–52.","previouslyFormattedCitation":"Marvin Gilbert, “Integrative Critical Analysis,” in &lt;i&gt;Missiological Research: Interdiisciplinary Foundations, Methods, and Integration&lt;/i&gt;, ed. Marvin Gilbert, Alan R. Johnson, and Paul W. Lewis, 1st ed. (Pasadena, CA: William Carey Publishing, 2018), 47–52."},"properties":{"noteIndex":6},"schema":"https://github.com/citation-style-language/schema/raw/master/csl-citation.json"}</w:instrText>
      </w:r>
      <w:r>
        <w:fldChar w:fldCharType="separate"/>
      </w:r>
      <w:r w:rsidRPr="007772FA">
        <w:rPr>
          <w:noProof/>
        </w:rPr>
        <w:t xml:space="preserve">Marvin Gilbert, “Integrative Critical Analysis,” in </w:t>
      </w:r>
      <w:r w:rsidRPr="007772FA">
        <w:rPr>
          <w:i/>
          <w:noProof/>
        </w:rPr>
        <w:t>Missiological Research: Interdiisciplinary Foundations, Methods, and Integration</w:t>
      </w:r>
      <w:r w:rsidRPr="007772FA">
        <w:rPr>
          <w:noProof/>
        </w:rPr>
        <w:t>, ed. Marvin Gilbert, Alan R. Johnson, and Paul W. Lewis, 1st ed. (Pasadena, CA: William Carey Publishing, 2018), 47–52.</w:t>
      </w:r>
      <w:r>
        <w:fldChar w:fldCharType="end"/>
      </w:r>
    </w:p>
  </w:footnote>
  <w:footnote w:id="7">
    <w:p w14:paraId="6D13C124" w14:textId="5793D06D" w:rsidR="00420895" w:rsidRDefault="00420895" w:rsidP="00A776D2">
      <w:pPr>
        <w:pStyle w:val="FootnoteText"/>
      </w:pPr>
      <w:r>
        <w:rPr>
          <w:rStyle w:val="FootnoteReference"/>
        </w:rPr>
        <w:footnoteRef/>
      </w:r>
      <w:r>
        <w:t xml:space="preserve"> </w:t>
      </w:r>
      <w:r>
        <w:fldChar w:fldCharType="begin" w:fldLock="1"/>
      </w:r>
      <w:r>
        <w:instrText>ADDIN CSL_CITATION {"citationItems":[{"id":"ITEM-1","itemData":{"author":[{"dropping-particle":"","family":"Okafor","given":"Peter Onyekwelu","non-dropping-particle":"","parse-names":false,"suffix":""}],"container-title":"Ministerium – Journal of Contextual Theology","id":"ITEM-1","issue":"1","issued":{"date-parts":[["2016"]]},"page":"1-23","title":"Incarnation As a Fundamental Hermeneutical Principle : The Case of Christian Theology and the Issue of Theological Education in Nigeria","type":"article-journal","volume":"2"},"uris":["http://www.mendeley.com/documents/?uuid=f08103c0-bb78-49d9-bfe8-e64550aae152"]}],"mendeley":{"formattedCitation":"Peter Onyekwelu Okafor, “Incarnation As a Fundamental Hermeneutical Principle : The Case of Christian Theology and the Issue of Theological Education in Nigeria,” &lt;i&gt;Ministerium – Journal of Contextual Theology&lt;/i&gt; 2, no. 1 (2016): 1–23.","plainTextFormattedCitation":"Peter Onyekwelu Okafor, “Incarnation As a Fundamental Hermeneutical Principle : The Case of Christian Theology and the Issue of Theological Education in Nigeria,” Ministerium – Journal of Contextual Theology 2, no. 1 (2016): 1–23.","previouslyFormattedCitation":"Peter Onyekwelu Okafor, “Incarnation As a Fundamental Hermeneutical Principle : The Case of Christian Theology and the Issue of Theological Education in Nigeria,” &lt;i&gt;Ministerium – Journal of Contextual Theology&lt;/i&gt; 2, no. 1 (2016): 1–23."},"properties":{"noteIndex":7},"schema":"https://github.com/citation-style-language/schema/raw/master/csl-citation.json"}</w:instrText>
      </w:r>
      <w:r>
        <w:fldChar w:fldCharType="separate"/>
      </w:r>
      <w:r w:rsidRPr="00EE18AC">
        <w:rPr>
          <w:noProof/>
        </w:rPr>
        <w:t xml:space="preserve">Peter Onyekwelu Okafor, “Incarnation As a Fundamental Hermeneutical Principle : The Case of Christian Theology and the Issue of Theological Education in Nigeria,” </w:t>
      </w:r>
      <w:r w:rsidRPr="00EE18AC">
        <w:rPr>
          <w:i/>
          <w:noProof/>
        </w:rPr>
        <w:t>Ministerium – Journal of Contextual Theology</w:t>
      </w:r>
      <w:r w:rsidRPr="00EE18AC">
        <w:rPr>
          <w:noProof/>
        </w:rPr>
        <w:t xml:space="preserve"> 2, no. 1 (2016): 1–23.</w:t>
      </w:r>
      <w:r>
        <w:fldChar w:fldCharType="end"/>
      </w:r>
    </w:p>
  </w:footnote>
  <w:footnote w:id="8">
    <w:p w14:paraId="49AA1C45" w14:textId="4C52E145" w:rsidR="00420895" w:rsidRDefault="00420895">
      <w:pPr>
        <w:pStyle w:val="FootnoteText"/>
      </w:pPr>
      <w:r>
        <w:rPr>
          <w:rStyle w:val="FootnoteReference"/>
        </w:rPr>
        <w:footnoteRef/>
      </w:r>
      <w:r>
        <w:t xml:space="preserve"> </w:t>
      </w:r>
      <w:r>
        <w:fldChar w:fldCharType="begin" w:fldLock="1"/>
      </w:r>
      <w:r>
        <w:instrText>ADDIN CSL_CITATION {"citationItems":[{"id":"ITEM-1","itemData":{"DOI":"10.1177/001258069611439402","ISSN":"0012-5806","author":[{"dropping-particle":"","family":"Custer","given":"John S.","non-dropping-particle":"","parse-names":false,"suffix":""}],"container-title":"The Downside Review","id":"ITEM-1","issue":"394","issued":{"date-parts":[["1996","1","25"]]},"page":"19-31","title":"The Psaltery, the Harp and the Fathers: A Biblical Image and its Interpreters","type":"article-journal","volume":"114"},"uris":["http://www.mendeley.com/documents/?uuid=f6de9fb4-d581-4762-befb-34641d782fbf"]}],"mendeley":{"formattedCitation":"John S. Custer, “The Psaltery, the Harp and the Fathers: A Biblical Image and Its Interpreters,” &lt;i&gt;The Downside Review&lt;/i&gt; 114, no. 394 (January 25, 1996): 19–31, http://journals.sagepub.com/doi/10.1177/001258069611439402.","plainTextFormattedCitation":"John S. Custer, “The Psaltery, the Harp and the Fathers: A Biblical Image and Its Interpreters,” The Downside Review 114, no. 394 (January 25, 1996): 19–31, http://journals.sagepub.com/doi/10.1177/001258069611439402.","previouslyFormattedCitation":"John S. Custer, “The Psaltery, the Harp and the Fathers: A Biblical Image and Its Interpreters,” &lt;i&gt;The Downside Review&lt;/i&gt; 114, no. 394 (January 25, 1996): 19–31, http://journals.sagepub.com/doi/10.1177/001258069611439402."},"properties":{"noteIndex":8},"schema":"https://github.com/citation-style-language/schema/raw/master/csl-citation.json"}</w:instrText>
      </w:r>
      <w:r>
        <w:fldChar w:fldCharType="separate"/>
      </w:r>
      <w:r w:rsidRPr="00624837">
        <w:rPr>
          <w:noProof/>
        </w:rPr>
        <w:t xml:space="preserve">John S. Custer, “The Psaltery, the Harp and the Fathers: A Biblical Image and Its Interpreters,” </w:t>
      </w:r>
      <w:r w:rsidRPr="00624837">
        <w:rPr>
          <w:i/>
          <w:noProof/>
        </w:rPr>
        <w:t>The Downside Review</w:t>
      </w:r>
      <w:r w:rsidRPr="00624837">
        <w:rPr>
          <w:noProof/>
        </w:rPr>
        <w:t xml:space="preserve"> 114, no. 394 (January 25, 1996): 19–31, http://journals.sagepub.com/doi/10.1177/001258069611439402.</w:t>
      </w:r>
      <w:r>
        <w:fldChar w:fldCharType="end"/>
      </w:r>
    </w:p>
  </w:footnote>
  <w:footnote w:id="9">
    <w:p w14:paraId="163F6487" w14:textId="02AAFBF1" w:rsidR="00420895" w:rsidRDefault="00420895">
      <w:pPr>
        <w:pStyle w:val="FootnoteText"/>
      </w:pPr>
      <w:r>
        <w:rPr>
          <w:rStyle w:val="FootnoteReference"/>
        </w:rPr>
        <w:footnoteRef/>
      </w:r>
      <w:r>
        <w:t xml:space="preserve"> </w:t>
      </w:r>
      <w:r>
        <w:fldChar w:fldCharType="begin" w:fldLock="1"/>
      </w:r>
      <w:r>
        <w:instrText>ADDIN CSL_CITATION {"citationItems":[{"id":"ITEM-1","itemData":{"DOI":"10.1017/S0149767700007427","ISSN":"1940509X","abstract":"That night 'Abdi Jan's troupe had been called so that the harem occupants could watch the show. Of course, you remember 'Abdi well. Let me, nonetheless, give you a description of his looks. He was a lad of about twelve or thirteen, with large black eyes, languid and incredibly beautiful and attractive. His face was tanned and good-looking, his lips crimson, and his hair black and thick. Renowned throughout the town, the boy had a thousand adoring lovers. Being a dancer, however, he was unworthy of being anyone's beloved. (Taj Al-Sultana 1993, 163). © 2006, Congress on Research in Dance. All rights reserved.","author":[{"dropping-particle":"","family":"Shay","given":"Anthony","non-dropping-particle":"","parse-names":false,"suffix":""}],"container-title":"Dance Research Journal","id":"ITEM-1","issue":"1-2","issued":{"date-parts":[["2006"]]},"page":"137-162","title":"The Male Dancer in the Middle East and Central Asia","type":"article-journal","volume":"38"},"uris":["http://www.mendeley.com/documents/?uuid=aff3debc-efad-4ed5-8c7c-d38b2ac09182"]}],"mendeley":{"formattedCitation":"Anthony Shay, “The Male Dancer in the Middle East and Central Asia,” &lt;i&gt;Dance Research Journal&lt;/i&gt; 38, no. 1–2 (2006): 137–162.","plainTextFormattedCitation":"Anthony Shay, “The Male Dancer in the Middle East and Central Asia,” Dance Research Journal 38, no. 1–2 (2006): 137–162.","previouslyFormattedCitation":"Anthony Shay, “The Male Dancer in the Middle East and Central Asia,” &lt;i&gt;Dance Research Journal&lt;/i&gt; 38, no. 1–2 (2006): 137–162."},"properties":{"noteIndex":9},"schema":"https://github.com/citation-style-language/schema/raw/master/csl-citation.json"}</w:instrText>
      </w:r>
      <w:r>
        <w:fldChar w:fldCharType="separate"/>
      </w:r>
      <w:r w:rsidRPr="00560E8B">
        <w:rPr>
          <w:noProof/>
        </w:rPr>
        <w:t xml:space="preserve">Anthony Shay, “The Male Dancer in the Middle East and Central Asia,” </w:t>
      </w:r>
      <w:r w:rsidRPr="00560E8B">
        <w:rPr>
          <w:i/>
          <w:noProof/>
        </w:rPr>
        <w:t>Dance Research Journal</w:t>
      </w:r>
      <w:r w:rsidRPr="00560E8B">
        <w:rPr>
          <w:noProof/>
        </w:rPr>
        <w:t xml:space="preserve"> 38, no. 1–2 (2006): 137–162.</w:t>
      </w:r>
      <w:r>
        <w:fldChar w:fldCharType="end"/>
      </w:r>
    </w:p>
  </w:footnote>
  <w:footnote w:id="10">
    <w:p w14:paraId="7C6E3F99" w14:textId="6522A4AC" w:rsidR="00420895" w:rsidRDefault="00420895">
      <w:pPr>
        <w:pStyle w:val="FootnoteText"/>
      </w:pPr>
      <w:r>
        <w:rPr>
          <w:rStyle w:val="FootnoteReference"/>
        </w:rPr>
        <w:footnoteRef/>
      </w:r>
      <w:r>
        <w:t xml:space="preserve"> </w:t>
      </w:r>
      <w:r>
        <w:fldChar w:fldCharType="begin" w:fldLock="1"/>
      </w:r>
      <w:r>
        <w:instrText>ADDIN CSL_CITATION {"citationItems":[{"id":"ITEM-1","itemData":{"author":[{"dropping-particle":"","family":"Strong","given":"James","non-dropping-particle":"","parse-names":false,"suffix":""}],"container-title":"Strong's Exhaustive Concordance of the Bible","id":"ITEM-1","issued":{"date-parts":[["1986"]]},"publisher":"World Bible Publishers","publisher-place":"Iowa Falls","title":"A Concise Dictionary of the Words in the Hebrew Bible","type":"chapter"},"locator":"167","uris":["http://www.mendeley.com/documents/?uuid=a3b04d6c-55d4-40b4-9c18-74fcbf5b5730"]}],"mendeley":{"formattedCitation":"James Strong, “A Concise Dictionary of the Words in the Hebrew Bible,” in &lt;i&gt;Strong’s Exhaustive Concordance of the Bible&lt;/i&gt; (Iowa Falls: World Bible Publishers, 1986), 167.","plainTextFormattedCitation":"James Strong, “A Concise Dictionary of the Words in the Hebrew Bible,” in Strong’s Exhaustive Concordance of the Bible (Iowa Falls: World Bible Publishers, 1986), 167.","previouslyFormattedCitation":"James Strong, “A Concise Dictionary of the Words in the Hebrew Bible,” in &lt;i&gt;Strong’s Exhaustive Concordance of the Bible&lt;/i&gt; (Iowa Falls: World Bible Publishers, 1986), 167."},"properties":{"noteIndex":10},"schema":"https://github.com/citation-style-language/schema/raw/master/csl-citation.json"}</w:instrText>
      </w:r>
      <w:r>
        <w:fldChar w:fldCharType="separate"/>
      </w:r>
      <w:r w:rsidRPr="00BA3DFC">
        <w:rPr>
          <w:noProof/>
        </w:rPr>
        <w:t xml:space="preserve">James Strong, “A Concise Dictionary of the Words in the Hebrew Bible,” in </w:t>
      </w:r>
      <w:r w:rsidRPr="00BA3DFC">
        <w:rPr>
          <w:i/>
          <w:noProof/>
        </w:rPr>
        <w:t>Strong’s Exhaustive Concordance of the Bible</w:t>
      </w:r>
      <w:r w:rsidRPr="00BA3DFC">
        <w:rPr>
          <w:noProof/>
        </w:rPr>
        <w:t xml:space="preserve"> (Iowa Falls: World Bible Publishers, 1986), 167.</w:t>
      </w:r>
      <w:r>
        <w:fldChar w:fldCharType="end"/>
      </w:r>
    </w:p>
  </w:footnote>
  <w:footnote w:id="11">
    <w:p w14:paraId="4D6FFD18" w14:textId="2F5D7BE3"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{"citationItems":[{"id":"ITEM-1","itemData":{"author":[{"dropping-particle":"","family":"Luerssen","given":"Jade","non-dropping-particle":"","parse-names":false,"suffix":""}],"container-title":"Honors Projects","id":"ITEM-1","issued":{"date-parts":[["1967"]]},"page":"11-25","title":"The Evolution of Sacred Dance in the Judeo-Christian Tradition","type":"article-journal"},"uris":["http://www.mendeley.com/documents/?uuid=86645da8-b95c-49e6-977a-010a979aa55b","http://www.mendeley.com/documents/?uuid=5da9d32b-922d-4419-a514-4c9d11455c9d","http://www.mendeley.com/documents/?uuid=9232361a-4722-420c-858f-ee51342a0469"]}],"mendeley":{"formattedCitation":"Jade Luerssen, “The Evolution of Sacred Dance in the Judeo-Christian Tradition,” &lt;i&gt;Honors Projects&lt;/i&gt; (1967): 11–25.","plainTextFormattedCitation":"Jade Luerssen, “The Evolution of Sacred Dance in the Judeo-Christian Tradition,” Honors Projects (1967): 11–25.","previouslyFormattedCitation":"Jade Luerssen, “The Evolution of Sacred Dance in the Judeo-Christian Tradition,” &lt;i&gt;Honors Projects&lt;/i&gt; (1967): 11–25."},"properties":{"noteIndex":11},"schema":"https://github.com/citation-style-language/schema/raw/master/csl-citation.json"}</w:instrText>
      </w:r>
      <w:r>
        <w:fldChar w:fldCharType="separate"/>
      </w:r>
      <w:r w:rsidRPr="002D1177">
        <w:rPr>
          <w:noProof/>
        </w:rPr>
        <w:t xml:space="preserve">Jade Luerssen, “The Evolution of Sacred Dance in the Judeo-Christian Tradition,” </w:t>
      </w:r>
      <w:r w:rsidRPr="002D1177">
        <w:rPr>
          <w:i/>
          <w:noProof/>
        </w:rPr>
        <w:t>Honors Projects</w:t>
      </w:r>
      <w:r w:rsidRPr="002D1177">
        <w:rPr>
          <w:noProof/>
        </w:rPr>
        <w:t xml:space="preserve"> (1967): 11–25.</w:t>
      </w:r>
      <w:r>
        <w:fldChar w:fldCharType="end"/>
      </w:r>
    </w:p>
  </w:footnote>
  <w:footnote w:id="12">
    <w:p w14:paraId="5C4D5DE1" w14:textId="441248D8"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{"citationItems":[{"id":"ITEM-1","itemData":{"author":[{"dropping-particle":"","family":"Zaluchu","given":"Sonny Eli","non-dropping-particle":"","parse-names":false,"suffix":""}],"container-title":"Nyimak Journal of Communication","id":"ITEM-1","issue":"1","issued":{"date-parts":[["2020"]]},"page":"135-147","title":"Deskripsi Tarian Maena Sebagai Identitas Suku Nias","type":"article-journal","volume":"4"},"uris":["http://www.mendeley.com/documents/?uuid=211c0c1d-6913-404e-8d98-4f2b60118cf4","http://www.mendeley.com/documents/?uuid=2dd98fdf-99a5-491c-a5fe-eaba0476b75d","http://www.mendeley.com/documents/?uuid=12164411-2f93-4a31-8be1-6a214b7c73ff"]}],"mendeley":{"formattedCitation":"Sonny Eli Zaluchu, “Deskripsi Tarian Maena Sebagai Identitas Suku Nias,” &lt;i&gt;Nyimak Journal of Communication&lt;/i&gt; 4, no. 1 (2020): 135–147.","plainTextFormattedCitation":"Sonny Eli Zaluchu, “Deskripsi Tarian Maena Sebagai Identitas Suku Nias,” Nyimak Journal of Communication 4, no. 1 (2020): 135–147.","previouslyFormattedCitation":"Sonny Eli Zaluchu, “Deskripsi Tarian Maena Sebagai Identitas Suku Nias,” &lt;i&gt;Nyimak Journal of Communication&lt;/i&gt; 4, no. 1 (2020): 135–147."},"properties":{"noteIndex":12},"schema":"https://github.com/citation-style-language/schema/raw/master/csl-citation.json"}</w:instrText>
      </w:r>
      <w:r>
        <w:fldChar w:fldCharType="separate"/>
      </w:r>
      <w:r w:rsidRPr="00D97E88">
        <w:rPr>
          <w:noProof/>
        </w:rPr>
        <w:t xml:space="preserve">Sonny Eli Zaluchu, “Deskripsi Tarian Maena Sebagai Identitas Suku Nias,” </w:t>
      </w:r>
      <w:r w:rsidRPr="00D97E88">
        <w:rPr>
          <w:i/>
          <w:noProof/>
        </w:rPr>
        <w:t>Nyimak Journal of Communication</w:t>
      </w:r>
      <w:r w:rsidRPr="00D97E88">
        <w:rPr>
          <w:noProof/>
        </w:rPr>
        <w:t xml:space="preserve"> 4, no. 1 (2020): 135–147.</w:t>
      </w:r>
      <w:r>
        <w:fldChar w:fldCharType="end"/>
      </w:r>
    </w:p>
  </w:footnote>
  <w:footnote w:id="13">
    <w:p w14:paraId="1F176A9D" w14:textId="757239DB"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{"citationItems":[{"id":"ITEM-1","itemData":{"author":[{"dropping-particle":"","family":"Coleman","given":"Lucinda","non-dropping-particle":"","parse-names":false,"suffix":""}],"container-title":"Renewal Journal","id":"ITEM-1","issued":{"date-parts":[["2011"]]},"page":"53-66","title":"Renewal Journal 6","type":"article-journal","volume":"2"},"uris":["http://www.mendeley.com/documents/?uuid=632fa867-3e61-42a1-9306-945f6be48bf3","http://www.mendeley.com/documents/?uuid=b8b21445-0688-4f77-aa92-df8a3b528461","http://www.mendeley.com/documents/?uuid=5a9fa001-61a1-4047-beb4-fbf935a33b09"]}],"mendeley":{"formattedCitation":"Lucinda Coleman, “Renewal Journal 6,” &lt;i&gt;Renewal Journal&lt;/i&gt; 2 (2011): 53–66.","plainTextFormattedCitation":"Lucinda Coleman, “Renewal Journal 6,” Renewal Journal 2 (2011): 53–66.","previouslyFormattedCitation":"Lucinda Coleman, “Renewal Journal 6,” &lt;i&gt;Renewal Journal&lt;/i&gt; 2 (2011): 53–66."},"properties":{"noteIndex":13},"schema":"https://github.com/citation-style-language/schema/raw/master/csl-citation.json"}</w:instrText>
      </w:r>
      <w:r>
        <w:fldChar w:fldCharType="separate"/>
      </w:r>
      <w:r w:rsidRPr="00AF5096">
        <w:rPr>
          <w:noProof/>
        </w:rPr>
        <w:t xml:space="preserve">Lucinda Coleman, “Renewal Journal 6,” </w:t>
      </w:r>
      <w:r w:rsidRPr="00AF5096">
        <w:rPr>
          <w:i/>
          <w:noProof/>
        </w:rPr>
        <w:t>Renewal Journal</w:t>
      </w:r>
      <w:r w:rsidRPr="00AF5096">
        <w:rPr>
          <w:noProof/>
        </w:rPr>
        <w:t xml:space="preserve"> 2 (2011): 53–66.</w:t>
      </w:r>
      <w:r>
        <w:fldChar w:fldCharType="end"/>
      </w:r>
    </w:p>
  </w:footnote>
  <w:footnote w:id="14">
    <w:p w14:paraId="4DD89BB7" w14:textId="74486069"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{"citationItems":[{"id":"ITEM-1","itemData":{"author":[{"dropping-particle":"","family":"Olukayode","given":"Ogunrinade Adewale","non-dropping-particle":"","parse-names":false,"suffix":""},{"dropping-particle":"","family":"Fatokun","given":"Samson Adetunji","non-dropping-particle":"","parse-names":false,"suffix":""},{"dropping-particle":"","family":"Abu","given":"Ogbole Friday","non-dropping-particle":"","parse-names":false,"suffix":""}],"container-title":"Journal of Philosophy, Culture and Religion","id":"ITEM-1","issued":{"date-parts":[["2015"]]},"page":"4-10","title":"Spiritual and Physical Interpretation of Dance, Clap and Gesticulation in African Indigenous Churches in Nigeria","type":"article-journal","volume":"9"},"uris":["http://www.mendeley.com/documents/?uuid=68df9092-bc78-44a5-a3ce-1408e44a860f","http://www.mendeley.com/documents/?uuid=60f4cfc4-c9a5-4649-9efc-353f8589cde0","http://www.mendeley.com/documents/?uuid=e900362a-1910-4396-a620-b96008451f85"]}],"mendeley":{"formattedCitation":"Ogunrinade Adewale Olukayode, Samson Adetunji Fatokun, and Ogbole Friday Abu, “Spiritual and Physical Interpretation of Dance, Clap and Gesticulation in African Indigenous Churches in Nigeria,” &lt;i&gt;Journal of Philosophy, Culture and Religion&lt;/i&gt; 9 (2015): 4–10.","plainTextFormattedCitation":"Ogunrinade Adewale Olukayode, Samson Adetunji Fatokun, and Ogbole Friday Abu, “Spiritual and Physical Interpretation of Dance, Clap and Gesticulation in African Indigenous Churches in Nigeria,” Journal of Philosophy, Culture and Religion 9 (2015): 4–10.","previouslyFormattedCitation":"Ogunrinade Adewale Olukayode, Samson Adetunji Fatokun, and Ogbole Friday Abu, “Spiritual and Physical Interpretation of Dance, Clap and Gesticulation in African Indigenous Churches in Nigeria,” &lt;i&gt;Journal of Philosophy, Culture and Religion&lt;/i&gt; 9 (2015): 4–10."},"properties":{"noteIndex":14},"schema":"https://github.com/citation-style-language/schema/raw/master/csl-citation.json"}</w:instrText>
      </w:r>
      <w:r>
        <w:fldChar w:fldCharType="separate"/>
      </w:r>
      <w:r w:rsidRPr="000B7745">
        <w:rPr>
          <w:noProof/>
        </w:rPr>
        <w:t xml:space="preserve">Ogunrinade Adewale Olukayode, Samson Adetunji Fatokun, and Ogbole Friday Abu, “Spiritual and Physical Interpretation of Dance, Clap and Gesticulation in African Indigenous Churches in Nigeria,” </w:t>
      </w:r>
      <w:r w:rsidRPr="000B7745">
        <w:rPr>
          <w:i/>
          <w:noProof/>
        </w:rPr>
        <w:t>Journal of Philosophy, Culture and Religion</w:t>
      </w:r>
      <w:r w:rsidRPr="000B7745">
        <w:rPr>
          <w:noProof/>
        </w:rPr>
        <w:t xml:space="preserve"> 9 (2015): 4–10.</w:t>
      </w:r>
      <w:r>
        <w:fldChar w:fldCharType="end"/>
      </w:r>
    </w:p>
  </w:footnote>
  <w:footnote w:id="15">
    <w:p w14:paraId="2BBDBAB6" w14:textId="1042DC14"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{"citationItems":[{"id":"ITEM-1","itemData":{"author":[{"dropping-particle":"","family":"Sheil","given":"Karen","non-dropping-particle":"","parse-names":false,"suffix":""}],"container-title":"McMaster Journal of Theology and Ministry","id":"ITEM-1","issue":"7","issued":{"date-parts":[["2006"]]},"page":"23-32","title":"Body, Dance, and Worship","type":"article-journal"},"uris":["http://www.mendeley.com/documents/?uuid=33c20b9f-4ec0-41e5-b8c2-39e9c56a3838"]}],"mendeley":{"formattedCitation":"Karen Sheil, “Body, Dance, and Worship,” &lt;i&gt;McMaster Journal of Theology and Ministry&lt;/i&gt;, no. 7 (2006): 23–32, https://www.mcmaster.ca/mjtm/pdfs/vol7/MJTM_7-2_Sheil.pdf.","plainTextFormattedCitation":"Karen Sheil, “Body, Dance, and Worship,” McMaster Journal of Theology and Ministry, no. 7 (2006): 23–32, https://www.mcmaster.ca/mjtm/pdfs/vol7/MJTM_7-2_Sheil.pdf.","previouslyFormattedCitation":"Karen Sheil, “Body, Dance, and Worship,” &lt;i&gt;McMaster Journal of Theology and Ministry&lt;/i&gt;, no. 7 (2006): 23–32, https://www.mcmaster.ca/mjtm/pdfs/vol7/MJTM_7-2_Sheil.pdf."},"properties":{"noteIndex":15},"schema":"https://github.com/citation-style-language/schema/raw/master/csl-citation.json"}</w:instrText>
      </w:r>
      <w:r>
        <w:fldChar w:fldCharType="separate"/>
      </w:r>
      <w:r w:rsidRPr="003619EC">
        <w:rPr>
          <w:noProof/>
        </w:rPr>
        <w:t xml:space="preserve">Karen Sheil, “Body, Dance, and Worship,” </w:t>
      </w:r>
      <w:r w:rsidRPr="003619EC">
        <w:rPr>
          <w:i/>
          <w:noProof/>
        </w:rPr>
        <w:t>McMaster Journal of Theology and Ministry</w:t>
      </w:r>
      <w:r w:rsidRPr="003619EC">
        <w:rPr>
          <w:noProof/>
        </w:rPr>
        <w:t>, no. 7 (2006): 23–32, https://www.mcmaster.ca/mjtm/pdfs/vol7/MJTM_7-2_Sheil.pdf.</w:t>
      </w:r>
      <w:r>
        <w:fldChar w:fldCharType="end"/>
      </w:r>
    </w:p>
  </w:footnote>
  <w:footnote w:id="16">
    <w:p w14:paraId="3D05C2E7" w14:textId="2A9CDA26" w:rsidR="00420895" w:rsidRDefault="00420895">
      <w:pPr>
        <w:pStyle w:val="FootnoteText"/>
      </w:pPr>
      <w:r>
        <w:rPr>
          <w:rStyle w:val="FootnoteReference"/>
        </w:rPr>
        <w:footnoteRef/>
      </w:r>
      <w:r>
        <w:t xml:space="preserve"> </w:t>
      </w:r>
      <w:r>
        <w:fldChar w:fldCharType="begin" w:fldLock="1"/>
      </w:r>
      <w:r>
        <w:instrText>ADDIN CSL_CITATION {"citationItems":[{"id":"ITEM-1","itemData":{"DOI":"10.4102/tv.v45i1.86","ISSN":"2664-2980","abstract":"In many religions, worshipping God whilst moving the body is part of worship. This article aims to explain and defend the position that worshipping God by moving the body in liturgy is biblical and has a theological foundation. The discussion is divided into three. Firstly, the writer traces the origins of objections to bodily movements in liturgy and analyses them. Secondly, it is explained that body movement is a language to God. A biblical argument about body movements, which should not be trapped in appearance and drama, is the third part. The article concludes that worship by gestures is biblically substantiated. The research contribution suggests that the church should be accommodating in its orthodoxy to accept this as truth. The church should deem it important to teach the congregation the concept of true worship and not worship that is trapped in appearances. The key finding is that the meaning of worship lies not in the direction but in the worshippers’ hearts. Each church should have a unique way in their respective cultures. This article performs a theological reconstruction of worship theology and analyses it briefly through a literature review of several literature works such as books, articles and research findings.","author":[{"dropping-particle":"","family":"Zaluchu","given":"Sonny Eli","non-dropping-particle":"","parse-names":false,"suffix":""}],"container-title":"Theologia Viatorum","id":"ITEM-1","issue":"1","issued":{"date-parts":[["2021","1","20"]]},"page":"1-5","title":"Dancing in praise of God: Reinterpretation of theology in worship","type":"article-journal","volume":"45"},"uris":["http://www.mendeley.com/documents/?uuid=d20a3a67-c47b-4458-9984-0a50b11715c1"]},{"id":"ITEM-2","itemData":{"abstract":"The issue of dancing in church has been a debate among scholars, especially Seventh-day Adven</w:instrText>
      </w:r>
      <w:r>
        <w:rPr>
          <w:rFonts w:hint="eastAsia"/>
        </w:rPr>
        <w:instrText></w:instrText>
      </w:r>
      <w:r>
        <w:instrText>sts.David’s dancing before the Lord has been argued to either support or disallow the ritual of dancing in a church(1 Sam 6:14). This paper, however, argues that the dancing of David occurs in a Cul</w:instrText>
      </w:r>
      <w:r>
        <w:rPr>
          <w:rFonts w:hint="eastAsia"/>
        </w:rPr>
        <w:instrText></w:instrText>
      </w:r>
      <w:r>
        <w:instrText>c se</w:instrText>
      </w:r>
      <w:r>
        <w:rPr>
          <w:rFonts w:hint="eastAsia"/>
        </w:rPr>
        <w:instrText></w:instrText>
      </w:r>
      <w:r>
        <w:instrText>ng where sacri</w:instrText>
      </w:r>
      <w:r>
        <w:rPr>
          <w:rFonts w:hint="eastAsia"/>
        </w:rPr>
        <w:instrText></w:instrText>
      </w:r>
      <w:r>
        <w:instrText>cesare o</w:instrText>
      </w:r>
      <w:r>
        <w:rPr>
          <w:rFonts w:hint="eastAsia"/>
        </w:rPr>
        <w:instrText></w:instrText>
      </w:r>
      <w:r>
        <w:instrText>ered before the ark of God, the symbol of the presence of YHWH. In this se</w:instrText>
      </w:r>
      <w:r>
        <w:rPr>
          <w:rFonts w:hint="eastAsia"/>
        </w:rPr>
        <w:instrText></w:instrText>
      </w:r>
      <w:r>
        <w:instrText>ng of worship, David issaid to have danced before the Lord as a form of praise to the Lord. David considered God as the object of hisdance. Any dance whose object is God may be considered appropriate and religiously necessary in an Africancontext","author":[{"dropping-particle":"","family":"Berchie","given":"Daniel","non-dropping-particle":"","parse-names":false,"suffix":""}],"container-title":"Catalyst","id":"ITEM-2","issue":"1","issued":{"date-parts":[["2014"]]},"page":"72-77","title":"Dancing Before the Lord (2 Sam 6:14)","type":"article-journal","volume":"9"},"uris":["http://www.mendeley.com/documents/?uuid=957462c4-a35c-3f32-9d5e-e2600e6766be"]}],"mendeley":{"formattedCitation":"Sonny Eli Zaluchu, “Dancing in Praise of God: Reinterpretation of Theology in Worship,” &lt;i&gt;Theologia Viatorum&lt;/i&gt; 45, no. 1 (January 20, 2021): 1–5, https://theologiaviatorum.org/index.php/tv/article/view/86; Daniel Berchie, “Dancing Before the Lord (2 Sam 6:14),” &lt;i&gt;Catalyst&lt;/i&gt; 9, no. 1 (2014): 72–77, accessed January 27, 2021, https://www.academia.edu/34549951/Dancing_Before_the_Lord_2_Sam_6_14.","plainTextFormattedCitation":"Sonny Eli Zaluchu, “Dancing in Praise of God: Reinterpretation of Theology in Worship,” Theologia Viatorum 45, no. 1 (January 20, 2021): 1–5, https://theologiaviatorum.org/index.php/tv/article/view/86; Daniel Berchie, “Dancing Before the Lord (2 Sam 6:14),” Catalyst 9, no. 1 (2014): 72–77, accessed January 27, 2021, https://www.academia.edu/34549951/Dancing_Before_the_Lord_2_Sam_6_14.","previouslyFormattedCitation":"Sonny Eli Zaluchu, “Dancing in Praise of God: Reinterpretation of Theology in Worship,” &lt;i&gt;Theologia Viatorum&lt;/i&gt; 45, no. 1 (January 20, 2021): 1–5, https://theologiaviatorum.org/index.php/tv/article/view/86; Daniel Berchie, “Dancing Before the Lord (2 Sam 6:14),” &lt;i&gt;Catalyst&lt;/i&gt; 9, no. 1 (2014): 72–77, accessed January 27, 2021, https://www.academia.edu/34549951/Dancing_Before_the_Lord_2_Sam_6_14."},"properties":{"noteIndex":16},"schema":"https://github.com/citation-style-language/schema/raw/master/csl-citation.json"}</w:instrText>
      </w:r>
      <w:r>
        <w:fldChar w:fldCharType="separate"/>
      </w:r>
      <w:r w:rsidRPr="0068249B">
        <w:rPr>
          <w:noProof/>
        </w:rPr>
        <w:t xml:space="preserve">Sonny Eli Zaluchu, “Dancing in Praise of God: Reinterpretation of Theology in Worship,” </w:t>
      </w:r>
      <w:r w:rsidRPr="0068249B">
        <w:rPr>
          <w:i/>
          <w:noProof/>
        </w:rPr>
        <w:t>Theologia Viatorum</w:t>
      </w:r>
      <w:r w:rsidRPr="0068249B">
        <w:rPr>
          <w:noProof/>
        </w:rPr>
        <w:t xml:space="preserve"> 45, no. 1 (January 20, 2021): 1–5, https://theologiaviatorum.org/index.php/tv/article/view/86; Daniel Berchie, “Dancing Before the Lord (2 Sam 6:14),” </w:t>
      </w:r>
      <w:r w:rsidRPr="0068249B">
        <w:rPr>
          <w:i/>
          <w:noProof/>
        </w:rPr>
        <w:t>Catalyst</w:t>
      </w:r>
      <w:r w:rsidRPr="0068249B">
        <w:rPr>
          <w:noProof/>
        </w:rPr>
        <w:t xml:space="preserve"> 9, no. 1 (2014): 72–77, accessed January 27, 2021, https://www.academia.edu/34549951/Dancing_Before_the_Lord_2_Sam_6_14.</w:t>
      </w:r>
      <w:r>
        <w:fldChar w:fldCharType="end"/>
      </w:r>
    </w:p>
  </w:footnote>
  <w:footnote w:id="17">
    <w:p w14:paraId="7DB35702" w14:textId="13289997" w:rsidR="00420895" w:rsidRDefault="00420895">
      <w:pPr>
        <w:pStyle w:val="FootnoteText"/>
      </w:pPr>
      <w:r>
        <w:rPr>
          <w:rStyle w:val="FootnoteReference"/>
        </w:rPr>
        <w:footnoteRef/>
      </w:r>
      <w:r>
        <w:t xml:space="preserve"> </w:t>
      </w:r>
      <w:r>
        <w:fldChar w:fldCharType="begin" w:fldLock="1"/>
      </w:r>
      <w:r w:rsidR="00663A49">
        <w:instrText>ADDIN CSL_CITATION {"citationItems":[{"id":"ITEM-1","itemData":{"DOI":"10.46494/psc.v15i1.62","ISSN":"2338-0489","abstract":"Orang-orang Kristen percaya bahwa ibadah kepada Allah adalah penting dan perlu bagi kehidupan bergereja. Namun Dalam kenyataannya ibadah seringkali dilaksanakan secara kurang serius, baik secara sadar ataupun tidak. Nilai dari ibadah Kristen yang telah diakui sangat penting, pada saat ini telah mengalami penurunan. Hal tersebut terlihat dari ketidakseriusan dalam perencanaan penyelenggaraan ibadah, misalnya tidak ada latihan sebelumnya, pelayan ibadah tidak serius mempersiapkan diri, tata ibadah tidak disiapkan sesuai tema. Kemungkinan besar hal ini terjadi karena jemaat atau pemimpin gereja tidak memahami tentang teologi ibadah dan kualitas penyelenggaraan ibadah. Teologi ibadah Kristen adalah refleksi sistematis dari ajaran Alkitab mengenai ibadah, tentang berbagai macam bentuk ibadah, motivasi dan tujuan beribadah. Sedangkan kualitas penyelenggaraan ibadah dapat dinilai dari perencanaan ibadah, persiapan ibadah, relevansi ibadah, serta berbagai aspek yang berkaitan dengan ibadah. Setiap pemimpin ibadah Kristen perlu memahami apa yang diajarkan oleh Alkitab tentang ibadah sehingga dapat menyelenggarakan ibadah yang berkualitas. Tujuan penelitian ini adalah untuk memberi gambaran tentang teologi ibadah dan kualitas penyelenggaraan ibadah. Penelitian ini adalah penelitian kualitatif menggunakan metode penelitian kepustakaan.","author":[{"dropping-particle":"","family":"Christimoty","given":"Debora Nugrahenny","non-dropping-particle":"","parse-names":false,"suffix":""}],"container-title":"PASCA : Jurnal Teologi dan Pendidikan Agama Kristen","id":"ITEM-1","issued":{"date-parts":[["2019"]]},"title":"Teologi Ibadah dan Kualitas Penyelenggaraaan Ibadah: Sebuah Pengantar","type":"article-journal"},"uris":["http://www.mendeley.com/documents/?uuid=90c49d89-4213-468c-95d4-ad3f239c1755"]}],"mendeley":{"formattedCitation":"Debora Nugrahenny Christimoty, “Teologi Ibadah Dan Kualitas Penyelenggaraaan Ibadah: Sebuah Pengantar,” &lt;i&gt;PASCA : Jurnal Teologi dan Pendidikan Agama Kristen&lt;/i&gt; (2019).","plainTextFormattedCitation":"Debora Nugrahenny Christimoty, “Teologi Ibadah Dan Kualitas Penyelenggaraaan Ibadah: Sebuah Pengantar,” PASCA : Jurnal Teologi dan Pendidikan Agama Kristen (2019).","previouslyFormattedCitation":"Debora Nugrahenny Christimoty, “Teologi Ibadah Dan Kualitas Penyelenggaraaan Ibadah: Sebuah Pengantar,” &lt;i&gt;PASCA : Jurnal Teologi dan Pendidikan Agama Kristen&lt;/i&gt; (2019)."},"properties":{"noteIndex":17},"schema":"https://github.com/citation-style-language/schema/raw/master/csl-citation.json"}</w:instrText>
      </w:r>
      <w:r>
        <w:fldChar w:fldCharType="separate"/>
      </w:r>
      <w:r w:rsidRPr="004C6D23">
        <w:rPr>
          <w:noProof/>
        </w:rPr>
        <w:t xml:space="preserve">Debora Nugrahenny Christimoty, “Teologi Ibadah Dan Kualitas Penyelenggaraaan Ibadah: Sebuah Pengantar,” </w:t>
      </w:r>
      <w:r w:rsidRPr="004C6D23">
        <w:rPr>
          <w:i/>
          <w:noProof/>
        </w:rPr>
        <w:t>PASCA : Jurnal Teologi dan Pendidikan Agama Kristen</w:t>
      </w:r>
      <w:r w:rsidRPr="004C6D23">
        <w:rPr>
          <w:noProof/>
        </w:rPr>
        <w:t xml:space="preserve"> (2019).</w:t>
      </w:r>
      <w:r>
        <w:fldChar w:fldCharType="end"/>
      </w:r>
    </w:p>
  </w:footnote>
  <w:footnote w:id="18">
    <w:p w14:paraId="6E2DFCDB" w14:textId="77777777" w:rsidR="00420895" w:rsidRDefault="00420895" w:rsidP="00420895">
      <w:pPr>
        <w:pStyle w:val="FootnoteText"/>
      </w:pPr>
      <w:r>
        <w:rPr>
          <w:rStyle w:val="FootnoteReference"/>
        </w:rPr>
        <w:footnoteRef/>
      </w:r>
      <w:r>
        <w:t xml:space="preserve"> </w:t>
      </w:r>
      <w:r>
        <w:fldChar w:fldCharType="begin" w:fldLock="1"/>
      </w:r>
      <w:r>
        <w:instrText>ADDIN CSL_CITATION {"citationItems":[{"id":"ITEM-1","itemData":{"author":[{"dropping-particle":"","family":"White","given":"James F.","non-dropping-particle":"","parse-names":false,"suffix":""}],"id":"ITEM-1","issued":{"date-parts":[["2017"]]},"number-of-pages":"339","publisher":"BPK Gunung Mulia","publisher-place":"Jakarta","title":"Pengantar Ibadah Kristen","type":"book"},"locator":"12","uris":["http://www.mendeley.com/documents/?uuid=ba2286f4-fb49-438c-af71-61cb8683752e","http://www.mendeley.com/documents/?uuid=bfd3be32-fbdf-4c89-a2f7-0135e552a18d","http://www.mendeley.com/documents/?uuid=6bb4066e-800f-4351-9076-b36cb155607f"]}],"mendeley":{"formattedCitation":"James F. White, &lt;i&gt;Pengantar Ibadah Kristen&lt;/i&gt; (Jakarta: BPK Gunung Mulia, 2017), 12.","plainTextFormattedCitation":"James F. White, Pengantar Ibadah Kristen (Jakarta: BPK Gunung Mulia, 2017), 12.","previouslyFormattedCitation":"James F. White, &lt;i&gt;Pengantar Ibadah Kristen&lt;/i&gt; (Jakarta: BPK Gunung Mulia, 2017), 12."},"properties":{"noteIndex":18},"schema":"https://github.com/citation-style-language/schema/raw/master/csl-citation.json"}</w:instrText>
      </w:r>
      <w:r>
        <w:fldChar w:fldCharType="separate"/>
      </w:r>
      <w:r w:rsidRPr="0021071F">
        <w:rPr>
          <w:noProof/>
        </w:rPr>
        <w:t xml:space="preserve">James F. White, </w:t>
      </w:r>
      <w:r w:rsidRPr="0021071F">
        <w:rPr>
          <w:i/>
          <w:noProof/>
        </w:rPr>
        <w:t>Pengantar Ibadah Kristen</w:t>
      </w:r>
      <w:r w:rsidRPr="0021071F">
        <w:rPr>
          <w:noProof/>
        </w:rPr>
        <w:t xml:space="preserve"> (Jakarta: BPK Gunung Mulia, 2017), 12.</w:t>
      </w:r>
      <w:r>
        <w:fldChar w:fldCharType="end"/>
      </w:r>
    </w:p>
  </w:footnote>
  <w:footnote w:id="19">
    <w:p w14:paraId="3F27F442" w14:textId="3290FBE5"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{"citationItems":[{"id":"ITEM-1","itemData":{"author":[{"dropping-particle":"","family":"Ray","given":"David R.","non-dropping-particle":"","parse-names":false,"suffix":""}],"id":"ITEM-1","issued":{"date-parts":[["2009"]]},"page":"299","publisher":"BPK Gunung Mulia","publisher-place":"Jakarta","title":"Gereja yang Hidup","type":"chapter"},"locator":"9","uris":["http://www.mendeley.com/documents/?uuid=8026c6c4-cb0f-466a-89e4-7695085d657c","http://www.mendeley.com/documents/?uuid=70747b33-8f70-4b0c-8bba-09bcc2c792d1","http://www.mendeley.com/documents/?uuid=ccd3eb13-b19d-4d48-b729-17695bcbb95f"]}],"mendeley":{"formattedCitation":"David R. Ray, “Gereja Yang Hidup” (Jakarta: BPK Gunung Mulia, 2009), 9.","plainTextFormattedCitation":"David R. Ray, “Gereja Yang Hidup” (Jakarta: BPK Gunung Mulia, 2009), 9.","previouslyFormattedCitation":"David R. Ray, “Gereja Yang Hidup” (Jakarta: BPK Gunung Mulia, 2009), 9."},"properties":{"noteIndex":19},"schema":"https://github.com/citation-style-language/schema/raw/master/csl-citation.json"}</w:instrText>
      </w:r>
      <w:r>
        <w:fldChar w:fldCharType="separate"/>
      </w:r>
      <w:r w:rsidRPr="00085867">
        <w:rPr>
          <w:noProof/>
        </w:rPr>
        <w:t>David R. Ray, “Gereja Yang Hidup” (Jakarta: BPK Gunung Mulia, 2009), 9.</w:t>
      </w:r>
      <w:r>
        <w:fldChar w:fldCharType="end"/>
      </w:r>
    </w:p>
  </w:footnote>
  <w:footnote w:id="20">
    <w:p w14:paraId="7AD25BF8" w14:textId="52AE8F0C"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{"citationItems":[{"id":"ITEM-1","itemData":{"author":[{"dropping-particle":"","family":"Hoon","given":"Paul W.","non-dropping-particle":"","parse-names":false,"suffix":""}],"id":"ITEM-1","issued":{"date-parts":[["1971"]]},"publisher":"Abingdon Press","publisher-place":"Nashville","title":"The Integrity of Worship","type":"book"},"locator":"77","uris":["http://www.mendeley.com/documents/?uuid=9b7d9f18-9017-4cd5-a9ee-e5ceb8f729b7","http://www.mendeley.com/documents/?uuid=40f21c67-7203-4bca-853b-7314c3f1690f","http://www.mendeley.com/documents/?uuid=c40b767e-1f69-456a-981d-be34aca6e103"]}],"mendeley":{"formattedCitation":"Paul W. Hoon, &lt;i&gt;The Integrity of Worship&lt;/i&gt; (Nashville: Abingdon Press, 1971), 77.","plainTextFormattedCitation":"Paul W. Hoon, The Integrity of Worship (Nashville: Abingdon Press, 1971), 77.","previouslyFormattedCitation":"Paul W. Hoon, &lt;i&gt;The Integrity of Worship&lt;/i&gt; (Nashville: Abingdon Press, 1971), 77."},"properties":{"noteIndex":20},"schema":"https://github.com/citation-style-language/schema/raw/master/csl-citation.json"}</w:instrText>
      </w:r>
      <w:r>
        <w:fldChar w:fldCharType="separate"/>
      </w:r>
      <w:r w:rsidRPr="00032A21">
        <w:rPr>
          <w:noProof/>
        </w:rPr>
        <w:t xml:space="preserve">Paul W. Hoon, </w:t>
      </w:r>
      <w:r w:rsidRPr="00032A21">
        <w:rPr>
          <w:i/>
          <w:noProof/>
        </w:rPr>
        <w:t>The Integrity of Worship</w:t>
      </w:r>
      <w:r w:rsidRPr="00032A21">
        <w:rPr>
          <w:noProof/>
        </w:rPr>
        <w:t xml:space="preserve"> (Nashville: Abingdon Press, 1971), 77.</w:t>
      </w:r>
      <w:r>
        <w:fldChar w:fldCharType="end"/>
      </w:r>
    </w:p>
  </w:footnote>
  <w:footnote w:id="21">
    <w:p w14:paraId="731F2AAF" w14:textId="3122A92B" w:rsidR="00420895" w:rsidRDefault="00420895" w:rsidP="00CC7BA7">
      <w:pPr>
        <w:pStyle w:val="FootnoteText"/>
      </w:pPr>
      <w:r>
        <w:rPr>
          <w:rStyle w:val="FootnoteReference"/>
        </w:rPr>
        <w:footnoteRef/>
      </w:r>
      <w:r>
        <w:t xml:space="preserve"> </w:t>
      </w:r>
      <w:r>
        <w:fldChar w:fldCharType="begin" w:fldLock="1"/>
      </w:r>
      <w:r>
        <w:instrText>ADDIN CSL_CITATION {"citationItems":[{"id":"ITEM-1","itemData":{"author":[{"dropping-particle":"","family":"Brunner","given":"Peter","non-dropping-particle":"","parse-names":false,"suffix":""}],"id":"ITEM-1","issued":{"date-parts":[["1968"]]},"publisher":"Concordia","publisher-place":"St. Louis","title":"Worship in the Name of Jesus","type":"book"},"locator":"125","uris":["http://www.mendeley.com/documents/?uuid=136a5b20-7979-4403-82a9-fcac52665fb2","http://www.mendeley.com/documents/?uuid=8bbff66c-ccd6-4173-8b7e-a0708e04e105","http://www.mendeley.com/documents/?uuid=d3a74f69-7f9e-45e8-abc8-1b44be487dfe"]}],"mendeley":{"formattedCitation":"Peter Brunner, &lt;i&gt;Worship in the Name of Jesus&lt;/i&gt; (St. Louis: Concordia, 1968), 125.","plainTextFormattedCitation":"Peter Brunner, Worship in the Name of Jesus (St. Louis: Concordia, 1968), 125.","previouslyFormattedCitation":"Peter Brunner, &lt;i&gt;Worship in the Name of Jesus&lt;/i&gt; (St. Louis: Concordia, 1968), 125."},"properties":{"noteIndex":21},"schema":"https://github.com/citation-style-language/schema/raw/master/csl-citation.json"}</w:instrText>
      </w:r>
      <w:r>
        <w:fldChar w:fldCharType="separate"/>
      </w:r>
      <w:r w:rsidRPr="00032A21">
        <w:rPr>
          <w:noProof/>
        </w:rPr>
        <w:t xml:space="preserve">Peter Brunner, </w:t>
      </w:r>
      <w:r w:rsidRPr="00032A21">
        <w:rPr>
          <w:i/>
          <w:noProof/>
        </w:rPr>
        <w:t>Worship in the Name of Jesus</w:t>
      </w:r>
      <w:r w:rsidRPr="00032A21">
        <w:rPr>
          <w:noProof/>
        </w:rPr>
        <w:t xml:space="preserve"> (St. Louis: Concordia, 1968), 125.</w:t>
      </w:r>
      <w:r>
        <w:fldChar w:fldCharType="end"/>
      </w:r>
    </w:p>
  </w:footnote>
  <w:footnote w:id="22">
    <w:p w14:paraId="02B6FCF2" w14:textId="1A3B3DAC" w:rsidR="00420895" w:rsidRDefault="00420895" w:rsidP="00CC7BA7">
      <w:pPr>
        <w:pStyle w:val="FootnoteText"/>
      </w:pPr>
      <w:r>
        <w:rPr>
          <w:rStyle w:val="FootnoteReference"/>
        </w:rPr>
        <w:footnoteRef/>
      </w:r>
      <w:r>
        <w:t xml:space="preserve"> </w:t>
      </w:r>
      <w:r>
        <w:fldChar w:fldCharType="begin" w:fldLock="1"/>
      </w:r>
      <w:r w:rsidR="00663A49">
        <w:instrText>ADDIN CSL_CITATION {"citationItems":[{"id":"ITEM-1","itemData":{"author":[{"dropping-particle":"","family":"Underhill","given":"Evelyn","non-dropping-particle":"","parse-names":false,"suffix":""}],"id":"ITEM-1","issued":{"date-parts":[["1936"]]},"publisher":"Nisbet&amp;Co.","publisher-place":"London","title":"Worship","type":"book"},"locator":"336","uris":["http://www.mendeley.com/documents/?uuid=1b76d4b7-c1ca-4269-9345-255fcefe7684","http://www.mendeley.com/documents/?uuid=dea40d36-cce1-42db-a6ce-af415f2335cd","http://www.mendeley.com/documents/?uuid=6fe5b1fa-3210-455d-98d1-44de249017d7"]}],"mendeley":{"formattedCitation":"Evelyn Underhill, &lt;i&gt;Worship&lt;/i&gt; (London: Nisbet&amp;Co., 1936), 336.","plainTextFormattedCitation":"Evelyn Underhill, Worship (London: Nisbet&amp;Co., 1936), 336.","previouslyFormattedCitation":"Evelyn Underhill, &lt;i&gt;Worship&lt;/i&gt; (London: Nisbet&amp;Co., 1936), 336."},"properties":{"noteIndex":22},"schema":"https://github.com/citation-style-language/schema/raw/master/csl-citation.json"}</w:instrText>
      </w:r>
      <w:r>
        <w:fldChar w:fldCharType="separate"/>
      </w:r>
      <w:r w:rsidRPr="00DF1A1B">
        <w:rPr>
          <w:noProof/>
        </w:rPr>
        <w:t xml:space="preserve">Evelyn Underhill, </w:t>
      </w:r>
      <w:r w:rsidRPr="00DF1A1B">
        <w:rPr>
          <w:i/>
          <w:noProof/>
        </w:rPr>
        <w:t>Worship</w:t>
      </w:r>
      <w:r w:rsidRPr="00DF1A1B">
        <w:rPr>
          <w:noProof/>
        </w:rPr>
        <w:t xml:space="preserve"> (London: Nisbet&amp;Co., 1936), 336.</w:t>
      </w:r>
      <w: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D6C2D" w14:textId="6CD8698D" w:rsidR="00420895" w:rsidRPr="0098724C" w:rsidRDefault="00420895" w:rsidP="0098724C">
    <w:pPr>
      <w:pStyle w:val="Header"/>
      <w:jc w:val="center"/>
      <w:rPr>
        <w:b/>
        <w:bCs/>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2B83F" w14:textId="16D96A50" w:rsidR="00420895" w:rsidRPr="0098724C" w:rsidRDefault="00420895" w:rsidP="00DA7147">
    <w:pPr>
      <w:pStyle w:val="Header"/>
      <w:jc w:val="center"/>
      <w:rPr>
        <w:i/>
        <w:iCs/>
        <w:lang w:val="id-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D67B5"/>
    <w:multiLevelType w:val="hybridMultilevel"/>
    <w:tmpl w:val="9708AB1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1E41394"/>
    <w:multiLevelType w:val="hybridMultilevel"/>
    <w:tmpl w:val="80D034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3D87033"/>
    <w:multiLevelType w:val="hybridMultilevel"/>
    <w:tmpl w:val="35B48988"/>
    <w:lvl w:ilvl="0" w:tplc="A2B80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395C82"/>
    <w:multiLevelType w:val="hybridMultilevel"/>
    <w:tmpl w:val="5680F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E3FD8"/>
    <w:multiLevelType w:val="hybridMultilevel"/>
    <w:tmpl w:val="5E0EC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A8403C"/>
    <w:multiLevelType w:val="hybridMultilevel"/>
    <w:tmpl w:val="F5F43842"/>
    <w:lvl w:ilvl="0" w:tplc="5A1EA34C">
      <w:start w:val="1"/>
      <w:numFmt w:val="lowerLetter"/>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BED7D31"/>
    <w:multiLevelType w:val="hybridMultilevel"/>
    <w:tmpl w:val="C75E043C"/>
    <w:lvl w:ilvl="0" w:tplc="BEBE38A2">
      <w:start w:val="1"/>
      <w:numFmt w:val="decimal"/>
      <w:lvlText w:val="%1."/>
      <w:lvlJc w:val="left"/>
      <w:pPr>
        <w:tabs>
          <w:tab w:val="num" w:pos="720"/>
        </w:tabs>
        <w:ind w:left="720" w:hanging="360"/>
      </w:pPr>
      <w:rPr>
        <w:rFonts w:ascii="Times New Roman" w:eastAsia="Times New Roman" w:hAnsi="Times New Roman" w:cs="Times New Roman"/>
        <w:b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CB0E1A"/>
    <w:multiLevelType w:val="hybridMultilevel"/>
    <w:tmpl w:val="82CA1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B533BE"/>
    <w:multiLevelType w:val="hybridMultilevel"/>
    <w:tmpl w:val="E0E409B0"/>
    <w:lvl w:ilvl="0" w:tplc="3E70B22C">
      <w:numFmt w:val="bullet"/>
      <w:lvlText w:val=""/>
      <w:lvlJc w:val="left"/>
      <w:pPr>
        <w:ind w:left="360" w:hanging="360"/>
      </w:pPr>
      <w:rPr>
        <w:rFonts w:ascii="Symbol" w:eastAsiaTheme="minorEastAsia"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614144C"/>
    <w:multiLevelType w:val="hybridMultilevel"/>
    <w:tmpl w:val="BD469F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61D4F2D"/>
    <w:multiLevelType w:val="hybridMultilevel"/>
    <w:tmpl w:val="88B02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536904"/>
    <w:multiLevelType w:val="hybridMultilevel"/>
    <w:tmpl w:val="FC7A96AA"/>
    <w:lvl w:ilvl="0" w:tplc="FB3E0780">
      <w:numFmt w:val="bullet"/>
      <w:lvlText w:val=""/>
      <w:lvlJc w:val="left"/>
      <w:pPr>
        <w:ind w:left="360" w:hanging="360"/>
      </w:pPr>
      <w:rPr>
        <w:rFonts w:ascii="Symbol" w:eastAsiaTheme="minorEastAsia"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A997C36"/>
    <w:multiLevelType w:val="hybridMultilevel"/>
    <w:tmpl w:val="B03EE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807BBA"/>
    <w:multiLevelType w:val="hybridMultilevel"/>
    <w:tmpl w:val="9FD06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F03C9D"/>
    <w:multiLevelType w:val="hybridMultilevel"/>
    <w:tmpl w:val="22FEE1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3B560F2"/>
    <w:multiLevelType w:val="hybridMultilevel"/>
    <w:tmpl w:val="617EAE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3DF22DC"/>
    <w:multiLevelType w:val="hybridMultilevel"/>
    <w:tmpl w:val="132493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565A16"/>
    <w:multiLevelType w:val="hybridMultilevel"/>
    <w:tmpl w:val="0A386C2E"/>
    <w:lvl w:ilvl="0" w:tplc="0421000F">
      <w:start w:val="1"/>
      <w:numFmt w:val="decimal"/>
      <w:lvlText w:val="%1."/>
      <w:lvlJc w:val="left"/>
      <w:pPr>
        <w:ind w:left="1512" w:hanging="945"/>
      </w:pPr>
      <w:rPr>
        <w:rFonts w:hint="default"/>
      </w:rPr>
    </w:lvl>
    <w:lvl w:ilvl="1" w:tplc="04210019">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8">
    <w:nsid w:val="35A41ABC"/>
    <w:multiLevelType w:val="hybridMultilevel"/>
    <w:tmpl w:val="513A6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97594A"/>
    <w:multiLevelType w:val="hybridMultilevel"/>
    <w:tmpl w:val="5680FB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0EE36D2"/>
    <w:multiLevelType w:val="hybridMultilevel"/>
    <w:tmpl w:val="95C8B27C"/>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19C39DA"/>
    <w:multiLevelType w:val="hybridMultilevel"/>
    <w:tmpl w:val="2F3CA0A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B4967EC"/>
    <w:multiLevelType w:val="hybridMultilevel"/>
    <w:tmpl w:val="82265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034CCD"/>
    <w:multiLevelType w:val="hybridMultilevel"/>
    <w:tmpl w:val="BF80484A"/>
    <w:lvl w:ilvl="0" w:tplc="ACCCA50E">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0D94A05"/>
    <w:multiLevelType w:val="hybridMultilevel"/>
    <w:tmpl w:val="E4484DA8"/>
    <w:lvl w:ilvl="0" w:tplc="A87ACBCE">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9BE1517"/>
    <w:multiLevelType w:val="multilevel"/>
    <w:tmpl w:val="A5DC8DD2"/>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DD4ED9"/>
    <w:multiLevelType w:val="hybridMultilevel"/>
    <w:tmpl w:val="78745D3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5C4A15"/>
    <w:multiLevelType w:val="hybridMultilevel"/>
    <w:tmpl w:val="F8E2A1EA"/>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8">
    <w:nsid w:val="63753C9A"/>
    <w:multiLevelType w:val="hybridMultilevel"/>
    <w:tmpl w:val="3F285BEE"/>
    <w:lvl w:ilvl="0" w:tplc="6D76A67A">
      <w:start w:val="1"/>
      <w:numFmt w:val="decimal"/>
      <w:lvlText w:val="%1."/>
      <w:lvlJc w:val="left"/>
      <w:pPr>
        <w:tabs>
          <w:tab w:val="num" w:pos="720"/>
        </w:tabs>
        <w:ind w:left="720" w:hanging="360"/>
      </w:pPr>
    </w:lvl>
    <w:lvl w:ilvl="1" w:tplc="CFA2F4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64490925"/>
    <w:multiLevelType w:val="hybridMultilevel"/>
    <w:tmpl w:val="63B21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477342"/>
    <w:multiLevelType w:val="hybridMultilevel"/>
    <w:tmpl w:val="062047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D342ECA"/>
    <w:multiLevelType w:val="hybridMultilevel"/>
    <w:tmpl w:val="76DEAC4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FA60C80"/>
    <w:multiLevelType w:val="hybridMultilevel"/>
    <w:tmpl w:val="07EEB1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26D050C"/>
    <w:multiLevelType w:val="hybridMultilevel"/>
    <w:tmpl w:val="A23086A0"/>
    <w:lvl w:ilvl="0" w:tplc="8EEC5E7C">
      <w:start w:val="1"/>
      <w:numFmt w:val="upperLetter"/>
      <w:lvlText w:val="%1."/>
      <w:lvlJc w:val="left"/>
      <w:pPr>
        <w:ind w:left="720" w:hanging="360"/>
      </w:pPr>
      <w:rPr>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76A744C5"/>
    <w:multiLevelType w:val="hybridMultilevel"/>
    <w:tmpl w:val="6686AAE0"/>
    <w:lvl w:ilvl="0" w:tplc="FB34A490">
      <w:start w:val="1"/>
      <w:numFmt w:val="decimal"/>
      <w:lvlText w:val="%1."/>
      <w:lvlJc w:val="left"/>
      <w:pPr>
        <w:tabs>
          <w:tab w:val="num" w:pos="360"/>
        </w:tabs>
        <w:ind w:left="360" w:hanging="360"/>
      </w:pPr>
      <w:rPr>
        <w:rFonts w:hint="default"/>
        <w:sz w:val="24"/>
      </w:rPr>
    </w:lvl>
    <w:lvl w:ilvl="1" w:tplc="CC88F460">
      <w:start w:val="1"/>
      <w:numFmt w:val="lowerLetter"/>
      <w:lvlText w:val="%2."/>
      <w:lvlJc w:val="left"/>
      <w:pPr>
        <w:tabs>
          <w:tab w:val="num" w:pos="869"/>
        </w:tabs>
        <w:ind w:left="869" w:hanging="585"/>
      </w:pPr>
      <w:rPr>
        <w:rFonts w:hint="default"/>
      </w:r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D3B214F"/>
    <w:multiLevelType w:val="hybridMultilevel"/>
    <w:tmpl w:val="049AFCBC"/>
    <w:lvl w:ilvl="0" w:tplc="0421000D">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6">
    <w:nsid w:val="7DFD2E2D"/>
    <w:multiLevelType w:val="hybridMultilevel"/>
    <w:tmpl w:val="B2B0A1B8"/>
    <w:lvl w:ilvl="0" w:tplc="CEDC685A">
      <w:start w:val="1"/>
      <w:numFmt w:val="upperRoman"/>
      <w:lvlText w:val="%1."/>
      <w:lvlJc w:val="left"/>
      <w:pPr>
        <w:tabs>
          <w:tab w:val="num" w:pos="540"/>
        </w:tabs>
        <w:ind w:left="540" w:hanging="405"/>
      </w:pPr>
      <w:rPr>
        <w:rFonts w:hint="default"/>
      </w:rPr>
    </w:lvl>
    <w:lvl w:ilvl="1" w:tplc="099A9BDC">
      <w:start w:val="1"/>
      <w:numFmt w:val="decimal"/>
      <w:lvlText w:val="%2."/>
      <w:lvlJc w:val="left"/>
      <w:pPr>
        <w:tabs>
          <w:tab w:val="num" w:pos="3487"/>
        </w:tabs>
        <w:ind w:left="1647" w:hanging="567"/>
      </w:pPr>
      <w:rPr>
        <w:rFonts w:hint="default"/>
      </w:rPr>
    </w:lvl>
    <w:lvl w:ilvl="2" w:tplc="2F0671FC">
      <w:start w:val="1"/>
      <w:numFmt w:val="lowerLetter"/>
      <w:lvlText w:val="%3."/>
      <w:lvlJc w:val="left"/>
      <w:pPr>
        <w:tabs>
          <w:tab w:val="num" w:pos="4032"/>
        </w:tabs>
        <w:ind w:left="2264" w:hanging="284"/>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37357D"/>
    <w:multiLevelType w:val="hybridMultilevel"/>
    <w:tmpl w:val="1D745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6"/>
  </w:num>
  <w:num w:numId="3">
    <w:abstractNumId w:val="1"/>
  </w:num>
  <w:num w:numId="4">
    <w:abstractNumId w:val="14"/>
  </w:num>
  <w:num w:numId="5">
    <w:abstractNumId w:val="32"/>
  </w:num>
  <w:num w:numId="6">
    <w:abstractNumId w:val="36"/>
  </w:num>
  <w:num w:numId="7">
    <w:abstractNumId w:val="30"/>
  </w:num>
  <w:num w:numId="8">
    <w:abstractNumId w:val="11"/>
  </w:num>
  <w:num w:numId="9">
    <w:abstractNumId w:val="8"/>
  </w:num>
  <w:num w:numId="10">
    <w:abstractNumId w:val="34"/>
  </w:num>
  <w:num w:numId="11">
    <w:abstractNumId w:val="31"/>
  </w:num>
  <w:num w:numId="12">
    <w:abstractNumId w:val="7"/>
  </w:num>
  <w:num w:numId="13">
    <w:abstractNumId w:val="10"/>
  </w:num>
  <w:num w:numId="14">
    <w:abstractNumId w:val="2"/>
  </w:num>
  <w:num w:numId="15">
    <w:abstractNumId w:val="18"/>
  </w:num>
  <w:num w:numId="16">
    <w:abstractNumId w:val="12"/>
  </w:num>
  <w:num w:numId="17">
    <w:abstractNumId w:val="4"/>
  </w:num>
  <w:num w:numId="18">
    <w:abstractNumId w:val="37"/>
  </w:num>
  <w:num w:numId="19">
    <w:abstractNumId w:val="13"/>
  </w:num>
  <w:num w:numId="20">
    <w:abstractNumId w:val="6"/>
  </w:num>
  <w:num w:numId="21">
    <w:abstractNumId w:val="23"/>
  </w:num>
  <w:num w:numId="22">
    <w:abstractNumId w:val="24"/>
  </w:num>
  <w:num w:numId="23">
    <w:abstractNumId w:val="26"/>
  </w:num>
  <w:num w:numId="24">
    <w:abstractNumId w:val="22"/>
  </w:num>
  <w:num w:numId="25">
    <w:abstractNumId w:val="29"/>
  </w:num>
  <w:num w:numId="26">
    <w:abstractNumId w:val="3"/>
  </w:num>
  <w:num w:numId="27">
    <w:abstractNumId w:val="19"/>
  </w:num>
  <w:num w:numId="28">
    <w:abstractNumId w:val="27"/>
  </w:num>
  <w:num w:numId="29">
    <w:abstractNumId w:val="9"/>
  </w:num>
  <w:num w:numId="30">
    <w:abstractNumId w:val="15"/>
  </w:num>
  <w:num w:numId="31">
    <w:abstractNumId w:val="17"/>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0"/>
  </w:num>
  <w:num w:numId="36">
    <w:abstractNumId w:val="33"/>
  </w:num>
  <w:num w:numId="37">
    <w:abstractNumId w:val="21"/>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DDE"/>
    <w:rsid w:val="0000064B"/>
    <w:rsid w:val="00002DF4"/>
    <w:rsid w:val="00003D4B"/>
    <w:rsid w:val="00004D6C"/>
    <w:rsid w:val="00004F72"/>
    <w:rsid w:val="00015134"/>
    <w:rsid w:val="00020FF1"/>
    <w:rsid w:val="000217B5"/>
    <w:rsid w:val="00022213"/>
    <w:rsid w:val="0002280E"/>
    <w:rsid w:val="0002362D"/>
    <w:rsid w:val="00025369"/>
    <w:rsid w:val="0002596A"/>
    <w:rsid w:val="00026228"/>
    <w:rsid w:val="00027AD8"/>
    <w:rsid w:val="0003359E"/>
    <w:rsid w:val="00036765"/>
    <w:rsid w:val="0003728A"/>
    <w:rsid w:val="00037D5F"/>
    <w:rsid w:val="00045C9B"/>
    <w:rsid w:val="00046EED"/>
    <w:rsid w:val="00047500"/>
    <w:rsid w:val="0005074A"/>
    <w:rsid w:val="00053F0D"/>
    <w:rsid w:val="0005530E"/>
    <w:rsid w:val="00055E5C"/>
    <w:rsid w:val="00060073"/>
    <w:rsid w:val="00062E4C"/>
    <w:rsid w:val="00065A9E"/>
    <w:rsid w:val="00066658"/>
    <w:rsid w:val="00073011"/>
    <w:rsid w:val="000746B9"/>
    <w:rsid w:val="00077BDC"/>
    <w:rsid w:val="00080669"/>
    <w:rsid w:val="00081710"/>
    <w:rsid w:val="00085659"/>
    <w:rsid w:val="00086885"/>
    <w:rsid w:val="000934CE"/>
    <w:rsid w:val="00093592"/>
    <w:rsid w:val="00095D77"/>
    <w:rsid w:val="0009623D"/>
    <w:rsid w:val="00097FE3"/>
    <w:rsid w:val="000A3C9B"/>
    <w:rsid w:val="000A41CB"/>
    <w:rsid w:val="000A4C52"/>
    <w:rsid w:val="000B1A68"/>
    <w:rsid w:val="000B3878"/>
    <w:rsid w:val="000C03DF"/>
    <w:rsid w:val="000C2139"/>
    <w:rsid w:val="000C2CB2"/>
    <w:rsid w:val="000C4439"/>
    <w:rsid w:val="000C45C5"/>
    <w:rsid w:val="000C49A6"/>
    <w:rsid w:val="000D16B7"/>
    <w:rsid w:val="000D2242"/>
    <w:rsid w:val="000D3905"/>
    <w:rsid w:val="000D5ED8"/>
    <w:rsid w:val="000E1E66"/>
    <w:rsid w:val="000E2CEC"/>
    <w:rsid w:val="000E6279"/>
    <w:rsid w:val="000F4061"/>
    <w:rsid w:val="000F5FED"/>
    <w:rsid w:val="000F7326"/>
    <w:rsid w:val="00102975"/>
    <w:rsid w:val="00102B7E"/>
    <w:rsid w:val="001055A7"/>
    <w:rsid w:val="00112164"/>
    <w:rsid w:val="0011342C"/>
    <w:rsid w:val="0012033F"/>
    <w:rsid w:val="001218C3"/>
    <w:rsid w:val="001253E4"/>
    <w:rsid w:val="0012565D"/>
    <w:rsid w:val="00131BB5"/>
    <w:rsid w:val="0013314B"/>
    <w:rsid w:val="00135B2A"/>
    <w:rsid w:val="00137D97"/>
    <w:rsid w:val="001402A7"/>
    <w:rsid w:val="001466D1"/>
    <w:rsid w:val="001469D7"/>
    <w:rsid w:val="00146C0F"/>
    <w:rsid w:val="001477CC"/>
    <w:rsid w:val="00153555"/>
    <w:rsid w:val="00153F6F"/>
    <w:rsid w:val="00157232"/>
    <w:rsid w:val="00161055"/>
    <w:rsid w:val="00162588"/>
    <w:rsid w:val="00162996"/>
    <w:rsid w:val="00164461"/>
    <w:rsid w:val="00164A20"/>
    <w:rsid w:val="00164FC0"/>
    <w:rsid w:val="001653E1"/>
    <w:rsid w:val="0016540C"/>
    <w:rsid w:val="00166A2A"/>
    <w:rsid w:val="0016710A"/>
    <w:rsid w:val="00171D89"/>
    <w:rsid w:val="00173690"/>
    <w:rsid w:val="0017403C"/>
    <w:rsid w:val="001751E7"/>
    <w:rsid w:val="00176793"/>
    <w:rsid w:val="00176EF2"/>
    <w:rsid w:val="0018179B"/>
    <w:rsid w:val="00183047"/>
    <w:rsid w:val="00184859"/>
    <w:rsid w:val="00194105"/>
    <w:rsid w:val="001A18A2"/>
    <w:rsid w:val="001A310D"/>
    <w:rsid w:val="001A3C22"/>
    <w:rsid w:val="001A4642"/>
    <w:rsid w:val="001A4C5F"/>
    <w:rsid w:val="001A55EB"/>
    <w:rsid w:val="001A7AF9"/>
    <w:rsid w:val="001B1C58"/>
    <w:rsid w:val="001B1EF7"/>
    <w:rsid w:val="001B2001"/>
    <w:rsid w:val="001B2123"/>
    <w:rsid w:val="001B2C54"/>
    <w:rsid w:val="001B34C1"/>
    <w:rsid w:val="001B3786"/>
    <w:rsid w:val="001B5726"/>
    <w:rsid w:val="001B6958"/>
    <w:rsid w:val="001B7E67"/>
    <w:rsid w:val="001C1E02"/>
    <w:rsid w:val="001C3A18"/>
    <w:rsid w:val="001C4B4D"/>
    <w:rsid w:val="001D281C"/>
    <w:rsid w:val="001D767C"/>
    <w:rsid w:val="001D77B0"/>
    <w:rsid w:val="001E0CBA"/>
    <w:rsid w:val="001E0DD2"/>
    <w:rsid w:val="001E23D5"/>
    <w:rsid w:val="001E2E11"/>
    <w:rsid w:val="001E6B67"/>
    <w:rsid w:val="001F0E93"/>
    <w:rsid w:val="001F1D59"/>
    <w:rsid w:val="001F26F6"/>
    <w:rsid w:val="001F3B80"/>
    <w:rsid w:val="00202381"/>
    <w:rsid w:val="002037A0"/>
    <w:rsid w:val="002040C2"/>
    <w:rsid w:val="00204207"/>
    <w:rsid w:val="002065D9"/>
    <w:rsid w:val="00207CD7"/>
    <w:rsid w:val="00210DB0"/>
    <w:rsid w:val="00215303"/>
    <w:rsid w:val="0021580A"/>
    <w:rsid w:val="00221084"/>
    <w:rsid w:val="00223701"/>
    <w:rsid w:val="00223FE8"/>
    <w:rsid w:val="00232DFE"/>
    <w:rsid w:val="0023314F"/>
    <w:rsid w:val="00235039"/>
    <w:rsid w:val="002367EE"/>
    <w:rsid w:val="002410F1"/>
    <w:rsid w:val="00241C7E"/>
    <w:rsid w:val="002433B4"/>
    <w:rsid w:val="00243FBF"/>
    <w:rsid w:val="00246353"/>
    <w:rsid w:val="00247C22"/>
    <w:rsid w:val="00252E2D"/>
    <w:rsid w:val="0025503C"/>
    <w:rsid w:val="00255151"/>
    <w:rsid w:val="002563E8"/>
    <w:rsid w:val="00257C10"/>
    <w:rsid w:val="00265BD4"/>
    <w:rsid w:val="0027052E"/>
    <w:rsid w:val="00271B5E"/>
    <w:rsid w:val="002738FD"/>
    <w:rsid w:val="00277FEB"/>
    <w:rsid w:val="00284A72"/>
    <w:rsid w:val="00284B8B"/>
    <w:rsid w:val="00285B09"/>
    <w:rsid w:val="00287FB0"/>
    <w:rsid w:val="00290F63"/>
    <w:rsid w:val="00291329"/>
    <w:rsid w:val="00292E70"/>
    <w:rsid w:val="002A0058"/>
    <w:rsid w:val="002A0647"/>
    <w:rsid w:val="002A3872"/>
    <w:rsid w:val="002A4E86"/>
    <w:rsid w:val="002A738F"/>
    <w:rsid w:val="002B039C"/>
    <w:rsid w:val="002B134C"/>
    <w:rsid w:val="002B377C"/>
    <w:rsid w:val="002B5CBC"/>
    <w:rsid w:val="002C30B8"/>
    <w:rsid w:val="002C4E31"/>
    <w:rsid w:val="002C5DBB"/>
    <w:rsid w:val="002C6438"/>
    <w:rsid w:val="002D10C3"/>
    <w:rsid w:val="002D1C66"/>
    <w:rsid w:val="002D55D3"/>
    <w:rsid w:val="002D6B6E"/>
    <w:rsid w:val="002D6DDE"/>
    <w:rsid w:val="002E244B"/>
    <w:rsid w:val="002E307E"/>
    <w:rsid w:val="002E3219"/>
    <w:rsid w:val="002E4320"/>
    <w:rsid w:val="002E5F6A"/>
    <w:rsid w:val="002E6C8D"/>
    <w:rsid w:val="002E7A54"/>
    <w:rsid w:val="002F18A9"/>
    <w:rsid w:val="002F36CF"/>
    <w:rsid w:val="002F468E"/>
    <w:rsid w:val="002F51A1"/>
    <w:rsid w:val="00301BC3"/>
    <w:rsid w:val="003040A1"/>
    <w:rsid w:val="00307C42"/>
    <w:rsid w:val="00310882"/>
    <w:rsid w:val="00314B34"/>
    <w:rsid w:val="00314F0E"/>
    <w:rsid w:val="0031551C"/>
    <w:rsid w:val="003178C0"/>
    <w:rsid w:val="0032088E"/>
    <w:rsid w:val="00320A3E"/>
    <w:rsid w:val="003212E3"/>
    <w:rsid w:val="00322C6B"/>
    <w:rsid w:val="003246F0"/>
    <w:rsid w:val="003251AF"/>
    <w:rsid w:val="00331D8B"/>
    <w:rsid w:val="0033314A"/>
    <w:rsid w:val="0033401E"/>
    <w:rsid w:val="003363A3"/>
    <w:rsid w:val="00337A57"/>
    <w:rsid w:val="00346652"/>
    <w:rsid w:val="00347DA2"/>
    <w:rsid w:val="00351518"/>
    <w:rsid w:val="00355CFB"/>
    <w:rsid w:val="00361912"/>
    <w:rsid w:val="003619EC"/>
    <w:rsid w:val="00362095"/>
    <w:rsid w:val="0036230B"/>
    <w:rsid w:val="00362BE5"/>
    <w:rsid w:val="003652F5"/>
    <w:rsid w:val="00373665"/>
    <w:rsid w:val="00374B47"/>
    <w:rsid w:val="0037655D"/>
    <w:rsid w:val="00380F04"/>
    <w:rsid w:val="003810DE"/>
    <w:rsid w:val="00381961"/>
    <w:rsid w:val="0038604B"/>
    <w:rsid w:val="00386DDF"/>
    <w:rsid w:val="003950AA"/>
    <w:rsid w:val="00397173"/>
    <w:rsid w:val="0039773E"/>
    <w:rsid w:val="003A1AA8"/>
    <w:rsid w:val="003A21B2"/>
    <w:rsid w:val="003A261E"/>
    <w:rsid w:val="003A2990"/>
    <w:rsid w:val="003A3E37"/>
    <w:rsid w:val="003A6123"/>
    <w:rsid w:val="003A6306"/>
    <w:rsid w:val="003A6569"/>
    <w:rsid w:val="003A6F9D"/>
    <w:rsid w:val="003B0590"/>
    <w:rsid w:val="003B05B3"/>
    <w:rsid w:val="003B0CE6"/>
    <w:rsid w:val="003B0EF9"/>
    <w:rsid w:val="003B1BB7"/>
    <w:rsid w:val="003B30F6"/>
    <w:rsid w:val="003B6C82"/>
    <w:rsid w:val="003B7DCB"/>
    <w:rsid w:val="003B7E46"/>
    <w:rsid w:val="003C029F"/>
    <w:rsid w:val="003D11F8"/>
    <w:rsid w:val="003D2CE0"/>
    <w:rsid w:val="003D49D8"/>
    <w:rsid w:val="003D6D33"/>
    <w:rsid w:val="003D6F72"/>
    <w:rsid w:val="003E153E"/>
    <w:rsid w:val="003E1C3F"/>
    <w:rsid w:val="003E2D07"/>
    <w:rsid w:val="003F0895"/>
    <w:rsid w:val="003F1316"/>
    <w:rsid w:val="003F1478"/>
    <w:rsid w:val="003F3171"/>
    <w:rsid w:val="003F732A"/>
    <w:rsid w:val="004053F0"/>
    <w:rsid w:val="00407FE8"/>
    <w:rsid w:val="00420895"/>
    <w:rsid w:val="00422CE0"/>
    <w:rsid w:val="0042359E"/>
    <w:rsid w:val="00424C46"/>
    <w:rsid w:val="00424C66"/>
    <w:rsid w:val="00425D6A"/>
    <w:rsid w:val="00426487"/>
    <w:rsid w:val="004269AC"/>
    <w:rsid w:val="0043172C"/>
    <w:rsid w:val="0043188E"/>
    <w:rsid w:val="00434C0A"/>
    <w:rsid w:val="004353BA"/>
    <w:rsid w:val="00436303"/>
    <w:rsid w:val="00443586"/>
    <w:rsid w:val="00450902"/>
    <w:rsid w:val="00456D93"/>
    <w:rsid w:val="004579E2"/>
    <w:rsid w:val="00457B31"/>
    <w:rsid w:val="00460F0B"/>
    <w:rsid w:val="004621DD"/>
    <w:rsid w:val="00464F88"/>
    <w:rsid w:val="00465D54"/>
    <w:rsid w:val="0046651B"/>
    <w:rsid w:val="004674B3"/>
    <w:rsid w:val="00471E2D"/>
    <w:rsid w:val="00472729"/>
    <w:rsid w:val="00476524"/>
    <w:rsid w:val="004767DA"/>
    <w:rsid w:val="00481159"/>
    <w:rsid w:val="00481792"/>
    <w:rsid w:val="00484173"/>
    <w:rsid w:val="004864EA"/>
    <w:rsid w:val="00487D09"/>
    <w:rsid w:val="004924E8"/>
    <w:rsid w:val="00493992"/>
    <w:rsid w:val="00494F49"/>
    <w:rsid w:val="00495983"/>
    <w:rsid w:val="004960A6"/>
    <w:rsid w:val="00497F5F"/>
    <w:rsid w:val="004A0510"/>
    <w:rsid w:val="004A19C4"/>
    <w:rsid w:val="004A2DF2"/>
    <w:rsid w:val="004A4733"/>
    <w:rsid w:val="004A50BF"/>
    <w:rsid w:val="004B1DD0"/>
    <w:rsid w:val="004B4148"/>
    <w:rsid w:val="004B66E5"/>
    <w:rsid w:val="004B6890"/>
    <w:rsid w:val="004C00DB"/>
    <w:rsid w:val="004C0914"/>
    <w:rsid w:val="004C6068"/>
    <w:rsid w:val="004C6D23"/>
    <w:rsid w:val="004D49E2"/>
    <w:rsid w:val="004E05C2"/>
    <w:rsid w:val="004E23F3"/>
    <w:rsid w:val="004E2427"/>
    <w:rsid w:val="004E5497"/>
    <w:rsid w:val="004E56BA"/>
    <w:rsid w:val="004E69F0"/>
    <w:rsid w:val="004F0B46"/>
    <w:rsid w:val="004F39BB"/>
    <w:rsid w:val="004F3F8E"/>
    <w:rsid w:val="004F5F2F"/>
    <w:rsid w:val="004F6F87"/>
    <w:rsid w:val="005006C2"/>
    <w:rsid w:val="00510057"/>
    <w:rsid w:val="00510074"/>
    <w:rsid w:val="0051023F"/>
    <w:rsid w:val="0051366A"/>
    <w:rsid w:val="00516755"/>
    <w:rsid w:val="005179CE"/>
    <w:rsid w:val="00517BAE"/>
    <w:rsid w:val="00520759"/>
    <w:rsid w:val="005219D8"/>
    <w:rsid w:val="00522916"/>
    <w:rsid w:val="00522E9E"/>
    <w:rsid w:val="00526D6F"/>
    <w:rsid w:val="005344A7"/>
    <w:rsid w:val="0053520C"/>
    <w:rsid w:val="00541251"/>
    <w:rsid w:val="00543C84"/>
    <w:rsid w:val="0054453B"/>
    <w:rsid w:val="00544DD2"/>
    <w:rsid w:val="00554DE5"/>
    <w:rsid w:val="00555561"/>
    <w:rsid w:val="00555BE6"/>
    <w:rsid w:val="00560E8B"/>
    <w:rsid w:val="00564863"/>
    <w:rsid w:val="0056585C"/>
    <w:rsid w:val="00565F7C"/>
    <w:rsid w:val="0056778A"/>
    <w:rsid w:val="00567B4F"/>
    <w:rsid w:val="00570634"/>
    <w:rsid w:val="00571D6C"/>
    <w:rsid w:val="00572AFA"/>
    <w:rsid w:val="00573DA2"/>
    <w:rsid w:val="00574373"/>
    <w:rsid w:val="00574C32"/>
    <w:rsid w:val="005752A8"/>
    <w:rsid w:val="00575848"/>
    <w:rsid w:val="00575C37"/>
    <w:rsid w:val="00581811"/>
    <w:rsid w:val="00582692"/>
    <w:rsid w:val="00583ACF"/>
    <w:rsid w:val="00584539"/>
    <w:rsid w:val="005846FA"/>
    <w:rsid w:val="00585DDE"/>
    <w:rsid w:val="00586E27"/>
    <w:rsid w:val="00594B3B"/>
    <w:rsid w:val="005A5886"/>
    <w:rsid w:val="005B1943"/>
    <w:rsid w:val="005B263D"/>
    <w:rsid w:val="005B3331"/>
    <w:rsid w:val="005B6829"/>
    <w:rsid w:val="005B7CBD"/>
    <w:rsid w:val="005C2FFA"/>
    <w:rsid w:val="005C4DC6"/>
    <w:rsid w:val="005D08D8"/>
    <w:rsid w:val="005D1211"/>
    <w:rsid w:val="005E0CAA"/>
    <w:rsid w:val="005E710A"/>
    <w:rsid w:val="005E7130"/>
    <w:rsid w:val="005E71D0"/>
    <w:rsid w:val="005E7CE1"/>
    <w:rsid w:val="005F007A"/>
    <w:rsid w:val="005F0742"/>
    <w:rsid w:val="005F357A"/>
    <w:rsid w:val="005F4B0C"/>
    <w:rsid w:val="005F508E"/>
    <w:rsid w:val="005F623D"/>
    <w:rsid w:val="00601656"/>
    <w:rsid w:val="00602099"/>
    <w:rsid w:val="006102E5"/>
    <w:rsid w:val="00612F27"/>
    <w:rsid w:val="0061439E"/>
    <w:rsid w:val="0061500E"/>
    <w:rsid w:val="00621FDC"/>
    <w:rsid w:val="00622DD8"/>
    <w:rsid w:val="00624837"/>
    <w:rsid w:val="0062597A"/>
    <w:rsid w:val="00630F9A"/>
    <w:rsid w:val="006324D1"/>
    <w:rsid w:val="00633812"/>
    <w:rsid w:val="00634F54"/>
    <w:rsid w:val="00635AEF"/>
    <w:rsid w:val="006379A3"/>
    <w:rsid w:val="00637D95"/>
    <w:rsid w:val="0064148E"/>
    <w:rsid w:val="006417AC"/>
    <w:rsid w:val="006424E9"/>
    <w:rsid w:val="006441B4"/>
    <w:rsid w:val="00644C5B"/>
    <w:rsid w:val="0064761A"/>
    <w:rsid w:val="00647CEB"/>
    <w:rsid w:val="006512C3"/>
    <w:rsid w:val="00652A4F"/>
    <w:rsid w:val="00653417"/>
    <w:rsid w:val="006544A2"/>
    <w:rsid w:val="00654AA3"/>
    <w:rsid w:val="006552C7"/>
    <w:rsid w:val="00660BF0"/>
    <w:rsid w:val="00661E7F"/>
    <w:rsid w:val="006635E8"/>
    <w:rsid w:val="00663A49"/>
    <w:rsid w:val="00663B38"/>
    <w:rsid w:val="006679A5"/>
    <w:rsid w:val="00667C5C"/>
    <w:rsid w:val="00671444"/>
    <w:rsid w:val="00671FE3"/>
    <w:rsid w:val="00672365"/>
    <w:rsid w:val="00673329"/>
    <w:rsid w:val="00673D80"/>
    <w:rsid w:val="00674B56"/>
    <w:rsid w:val="00674ECA"/>
    <w:rsid w:val="00676FA1"/>
    <w:rsid w:val="00680C85"/>
    <w:rsid w:val="0068249B"/>
    <w:rsid w:val="00683E4F"/>
    <w:rsid w:val="00686375"/>
    <w:rsid w:val="0068697C"/>
    <w:rsid w:val="00686C3F"/>
    <w:rsid w:val="006911B4"/>
    <w:rsid w:val="006915EE"/>
    <w:rsid w:val="00693408"/>
    <w:rsid w:val="006A6E38"/>
    <w:rsid w:val="006A73D5"/>
    <w:rsid w:val="006A7CE5"/>
    <w:rsid w:val="006B13C0"/>
    <w:rsid w:val="006C01DD"/>
    <w:rsid w:val="006C038C"/>
    <w:rsid w:val="006C0D1C"/>
    <w:rsid w:val="006C1984"/>
    <w:rsid w:val="006C1FD9"/>
    <w:rsid w:val="006C214D"/>
    <w:rsid w:val="006C4998"/>
    <w:rsid w:val="006C740E"/>
    <w:rsid w:val="006D1D42"/>
    <w:rsid w:val="006D2D7C"/>
    <w:rsid w:val="006D5270"/>
    <w:rsid w:val="006E2647"/>
    <w:rsid w:val="006E4808"/>
    <w:rsid w:val="006E68C3"/>
    <w:rsid w:val="006F05B0"/>
    <w:rsid w:val="006F2879"/>
    <w:rsid w:val="006F3975"/>
    <w:rsid w:val="006F42BA"/>
    <w:rsid w:val="00700408"/>
    <w:rsid w:val="0070598C"/>
    <w:rsid w:val="007073F1"/>
    <w:rsid w:val="0071115C"/>
    <w:rsid w:val="007111A0"/>
    <w:rsid w:val="00711D0B"/>
    <w:rsid w:val="00717265"/>
    <w:rsid w:val="0072172F"/>
    <w:rsid w:val="00723880"/>
    <w:rsid w:val="00726E83"/>
    <w:rsid w:val="0072717C"/>
    <w:rsid w:val="007301C6"/>
    <w:rsid w:val="00730F10"/>
    <w:rsid w:val="00731718"/>
    <w:rsid w:val="0073241D"/>
    <w:rsid w:val="007353E9"/>
    <w:rsid w:val="007355EE"/>
    <w:rsid w:val="007403DE"/>
    <w:rsid w:val="007419B4"/>
    <w:rsid w:val="00741F6F"/>
    <w:rsid w:val="0074529B"/>
    <w:rsid w:val="0075250E"/>
    <w:rsid w:val="00762CA0"/>
    <w:rsid w:val="00763105"/>
    <w:rsid w:val="007639BD"/>
    <w:rsid w:val="007703E3"/>
    <w:rsid w:val="0077472B"/>
    <w:rsid w:val="00775258"/>
    <w:rsid w:val="007772FA"/>
    <w:rsid w:val="00777C15"/>
    <w:rsid w:val="00777CCF"/>
    <w:rsid w:val="00777FAF"/>
    <w:rsid w:val="00780162"/>
    <w:rsid w:val="00781945"/>
    <w:rsid w:val="0078198C"/>
    <w:rsid w:val="00782DB5"/>
    <w:rsid w:val="0078457E"/>
    <w:rsid w:val="00785553"/>
    <w:rsid w:val="007909F2"/>
    <w:rsid w:val="00792D14"/>
    <w:rsid w:val="00795C7B"/>
    <w:rsid w:val="00797DB9"/>
    <w:rsid w:val="007A038A"/>
    <w:rsid w:val="007A12AE"/>
    <w:rsid w:val="007A39F6"/>
    <w:rsid w:val="007B1BD6"/>
    <w:rsid w:val="007B3F0C"/>
    <w:rsid w:val="007B59D9"/>
    <w:rsid w:val="007B7CB8"/>
    <w:rsid w:val="007C013D"/>
    <w:rsid w:val="007C3CDD"/>
    <w:rsid w:val="007C3E9F"/>
    <w:rsid w:val="007D1B9C"/>
    <w:rsid w:val="007D2E9E"/>
    <w:rsid w:val="007D334C"/>
    <w:rsid w:val="007D4C90"/>
    <w:rsid w:val="007E004F"/>
    <w:rsid w:val="007E1485"/>
    <w:rsid w:val="007E3006"/>
    <w:rsid w:val="007E42B8"/>
    <w:rsid w:val="007E5992"/>
    <w:rsid w:val="007E62E7"/>
    <w:rsid w:val="007F07F7"/>
    <w:rsid w:val="007F2B8F"/>
    <w:rsid w:val="007F65DA"/>
    <w:rsid w:val="0080123B"/>
    <w:rsid w:val="008044CB"/>
    <w:rsid w:val="008047DA"/>
    <w:rsid w:val="008050B0"/>
    <w:rsid w:val="008061BF"/>
    <w:rsid w:val="00807FCE"/>
    <w:rsid w:val="008114CC"/>
    <w:rsid w:val="008116B1"/>
    <w:rsid w:val="008167AB"/>
    <w:rsid w:val="00816A73"/>
    <w:rsid w:val="008173E9"/>
    <w:rsid w:val="00822F9A"/>
    <w:rsid w:val="008279F3"/>
    <w:rsid w:val="00827CFD"/>
    <w:rsid w:val="008300EA"/>
    <w:rsid w:val="0083325C"/>
    <w:rsid w:val="008417C7"/>
    <w:rsid w:val="008427B1"/>
    <w:rsid w:val="0084387D"/>
    <w:rsid w:val="00843EB2"/>
    <w:rsid w:val="0084654D"/>
    <w:rsid w:val="008473B3"/>
    <w:rsid w:val="00850BFE"/>
    <w:rsid w:val="00851684"/>
    <w:rsid w:val="008519B8"/>
    <w:rsid w:val="00851CEF"/>
    <w:rsid w:val="008524C1"/>
    <w:rsid w:val="0085417C"/>
    <w:rsid w:val="00854F1D"/>
    <w:rsid w:val="008557D0"/>
    <w:rsid w:val="00860D42"/>
    <w:rsid w:val="00861B46"/>
    <w:rsid w:val="00867119"/>
    <w:rsid w:val="008737BD"/>
    <w:rsid w:val="00877B78"/>
    <w:rsid w:val="00880319"/>
    <w:rsid w:val="008806EA"/>
    <w:rsid w:val="0088140B"/>
    <w:rsid w:val="00882C6C"/>
    <w:rsid w:val="00886769"/>
    <w:rsid w:val="008911E9"/>
    <w:rsid w:val="00894700"/>
    <w:rsid w:val="008B54AE"/>
    <w:rsid w:val="008B600C"/>
    <w:rsid w:val="008C0426"/>
    <w:rsid w:val="008C154A"/>
    <w:rsid w:val="008C1C22"/>
    <w:rsid w:val="008D1D68"/>
    <w:rsid w:val="008D343B"/>
    <w:rsid w:val="008D4BF8"/>
    <w:rsid w:val="008D4F1C"/>
    <w:rsid w:val="008D7885"/>
    <w:rsid w:val="008E2A09"/>
    <w:rsid w:val="008F0887"/>
    <w:rsid w:val="008F2913"/>
    <w:rsid w:val="008F389C"/>
    <w:rsid w:val="008F4D5E"/>
    <w:rsid w:val="008F50CB"/>
    <w:rsid w:val="008F6143"/>
    <w:rsid w:val="008F7849"/>
    <w:rsid w:val="00905E31"/>
    <w:rsid w:val="00907859"/>
    <w:rsid w:val="00912379"/>
    <w:rsid w:val="0091456E"/>
    <w:rsid w:val="0091469D"/>
    <w:rsid w:val="00914FE8"/>
    <w:rsid w:val="009154E8"/>
    <w:rsid w:val="009174AA"/>
    <w:rsid w:val="009219E4"/>
    <w:rsid w:val="00922566"/>
    <w:rsid w:val="00923058"/>
    <w:rsid w:val="00925363"/>
    <w:rsid w:val="009257B6"/>
    <w:rsid w:val="00925F23"/>
    <w:rsid w:val="00930B1F"/>
    <w:rsid w:val="00931458"/>
    <w:rsid w:val="00932384"/>
    <w:rsid w:val="00932CA5"/>
    <w:rsid w:val="00936102"/>
    <w:rsid w:val="00940B97"/>
    <w:rsid w:val="0094178B"/>
    <w:rsid w:val="00942AAC"/>
    <w:rsid w:val="009434DA"/>
    <w:rsid w:val="00947F1F"/>
    <w:rsid w:val="00950AF2"/>
    <w:rsid w:val="00950EC6"/>
    <w:rsid w:val="0095247D"/>
    <w:rsid w:val="00954ECD"/>
    <w:rsid w:val="009555BD"/>
    <w:rsid w:val="009565A8"/>
    <w:rsid w:val="00956BA5"/>
    <w:rsid w:val="00963014"/>
    <w:rsid w:val="00965FF9"/>
    <w:rsid w:val="00970006"/>
    <w:rsid w:val="009747D7"/>
    <w:rsid w:val="00976C49"/>
    <w:rsid w:val="00976ECD"/>
    <w:rsid w:val="0097795E"/>
    <w:rsid w:val="00980C89"/>
    <w:rsid w:val="0098525E"/>
    <w:rsid w:val="00986146"/>
    <w:rsid w:val="0098724C"/>
    <w:rsid w:val="00993CB1"/>
    <w:rsid w:val="009A1BAB"/>
    <w:rsid w:val="009A22ED"/>
    <w:rsid w:val="009B13B9"/>
    <w:rsid w:val="009B4E81"/>
    <w:rsid w:val="009B5310"/>
    <w:rsid w:val="009B705E"/>
    <w:rsid w:val="009B7BF3"/>
    <w:rsid w:val="009C3147"/>
    <w:rsid w:val="009C639F"/>
    <w:rsid w:val="009C6B6D"/>
    <w:rsid w:val="009D4CF1"/>
    <w:rsid w:val="009D56D6"/>
    <w:rsid w:val="009D6AB7"/>
    <w:rsid w:val="009E072C"/>
    <w:rsid w:val="009E2D4B"/>
    <w:rsid w:val="009E671A"/>
    <w:rsid w:val="009F33E6"/>
    <w:rsid w:val="009F4886"/>
    <w:rsid w:val="009F5964"/>
    <w:rsid w:val="00A004F6"/>
    <w:rsid w:val="00A00CB0"/>
    <w:rsid w:val="00A03267"/>
    <w:rsid w:val="00A032C1"/>
    <w:rsid w:val="00A05A10"/>
    <w:rsid w:val="00A06530"/>
    <w:rsid w:val="00A074DB"/>
    <w:rsid w:val="00A079CA"/>
    <w:rsid w:val="00A1243C"/>
    <w:rsid w:val="00A14D46"/>
    <w:rsid w:val="00A157A6"/>
    <w:rsid w:val="00A16E9D"/>
    <w:rsid w:val="00A17A11"/>
    <w:rsid w:val="00A21E0B"/>
    <w:rsid w:val="00A23F1B"/>
    <w:rsid w:val="00A240EB"/>
    <w:rsid w:val="00A24E6C"/>
    <w:rsid w:val="00A3293D"/>
    <w:rsid w:val="00A3296E"/>
    <w:rsid w:val="00A34B18"/>
    <w:rsid w:val="00A34E67"/>
    <w:rsid w:val="00A37D03"/>
    <w:rsid w:val="00A42601"/>
    <w:rsid w:val="00A42C6F"/>
    <w:rsid w:val="00A44892"/>
    <w:rsid w:val="00A45FC1"/>
    <w:rsid w:val="00A465C9"/>
    <w:rsid w:val="00A47AE8"/>
    <w:rsid w:val="00A47DD0"/>
    <w:rsid w:val="00A51B3F"/>
    <w:rsid w:val="00A51C28"/>
    <w:rsid w:val="00A5296F"/>
    <w:rsid w:val="00A52FB9"/>
    <w:rsid w:val="00A54FEF"/>
    <w:rsid w:val="00A55D48"/>
    <w:rsid w:val="00A647C9"/>
    <w:rsid w:val="00A65E68"/>
    <w:rsid w:val="00A65FD4"/>
    <w:rsid w:val="00A66D85"/>
    <w:rsid w:val="00A735F8"/>
    <w:rsid w:val="00A73A90"/>
    <w:rsid w:val="00A73FC9"/>
    <w:rsid w:val="00A7679F"/>
    <w:rsid w:val="00A776D2"/>
    <w:rsid w:val="00A81693"/>
    <w:rsid w:val="00A82405"/>
    <w:rsid w:val="00A8389A"/>
    <w:rsid w:val="00A922A0"/>
    <w:rsid w:val="00A92BEC"/>
    <w:rsid w:val="00A94D9D"/>
    <w:rsid w:val="00AA056B"/>
    <w:rsid w:val="00AA0785"/>
    <w:rsid w:val="00AA3447"/>
    <w:rsid w:val="00AA41C3"/>
    <w:rsid w:val="00AA649C"/>
    <w:rsid w:val="00AA655D"/>
    <w:rsid w:val="00AA67FB"/>
    <w:rsid w:val="00AA7F08"/>
    <w:rsid w:val="00AB08AC"/>
    <w:rsid w:val="00AB0D5B"/>
    <w:rsid w:val="00AB0F55"/>
    <w:rsid w:val="00AB20F9"/>
    <w:rsid w:val="00AB4219"/>
    <w:rsid w:val="00AB4B9C"/>
    <w:rsid w:val="00AB584A"/>
    <w:rsid w:val="00AB6320"/>
    <w:rsid w:val="00AB6667"/>
    <w:rsid w:val="00AB70A6"/>
    <w:rsid w:val="00AB7A75"/>
    <w:rsid w:val="00AC35B8"/>
    <w:rsid w:val="00AC3944"/>
    <w:rsid w:val="00AC4F1F"/>
    <w:rsid w:val="00AC4F5B"/>
    <w:rsid w:val="00AC6AA6"/>
    <w:rsid w:val="00AC7067"/>
    <w:rsid w:val="00AC7A3D"/>
    <w:rsid w:val="00AD09A5"/>
    <w:rsid w:val="00AD1251"/>
    <w:rsid w:val="00AD19D2"/>
    <w:rsid w:val="00AD244E"/>
    <w:rsid w:val="00AD4A6D"/>
    <w:rsid w:val="00AD5D44"/>
    <w:rsid w:val="00AD69D4"/>
    <w:rsid w:val="00AE0DAC"/>
    <w:rsid w:val="00AE1725"/>
    <w:rsid w:val="00AE2F21"/>
    <w:rsid w:val="00AE3116"/>
    <w:rsid w:val="00AE41C1"/>
    <w:rsid w:val="00AE7868"/>
    <w:rsid w:val="00AF0835"/>
    <w:rsid w:val="00AF2C8D"/>
    <w:rsid w:val="00AF34E5"/>
    <w:rsid w:val="00AF5AFD"/>
    <w:rsid w:val="00B01677"/>
    <w:rsid w:val="00B043DC"/>
    <w:rsid w:val="00B10739"/>
    <w:rsid w:val="00B115FD"/>
    <w:rsid w:val="00B1228A"/>
    <w:rsid w:val="00B13F4B"/>
    <w:rsid w:val="00B15C9E"/>
    <w:rsid w:val="00B17996"/>
    <w:rsid w:val="00B247BD"/>
    <w:rsid w:val="00B259B8"/>
    <w:rsid w:val="00B264CB"/>
    <w:rsid w:val="00B35342"/>
    <w:rsid w:val="00B353E1"/>
    <w:rsid w:val="00B35519"/>
    <w:rsid w:val="00B36D78"/>
    <w:rsid w:val="00B402EA"/>
    <w:rsid w:val="00B4302E"/>
    <w:rsid w:val="00B438F5"/>
    <w:rsid w:val="00B43BD6"/>
    <w:rsid w:val="00B46065"/>
    <w:rsid w:val="00B51098"/>
    <w:rsid w:val="00B510EE"/>
    <w:rsid w:val="00B512BF"/>
    <w:rsid w:val="00B545E9"/>
    <w:rsid w:val="00B54BAF"/>
    <w:rsid w:val="00B54E29"/>
    <w:rsid w:val="00B54E6A"/>
    <w:rsid w:val="00B56399"/>
    <w:rsid w:val="00B65C65"/>
    <w:rsid w:val="00B666F8"/>
    <w:rsid w:val="00B670E1"/>
    <w:rsid w:val="00B7117F"/>
    <w:rsid w:val="00B732A5"/>
    <w:rsid w:val="00B73367"/>
    <w:rsid w:val="00B73494"/>
    <w:rsid w:val="00B75497"/>
    <w:rsid w:val="00B75BF0"/>
    <w:rsid w:val="00B816EB"/>
    <w:rsid w:val="00B81AAD"/>
    <w:rsid w:val="00B854A7"/>
    <w:rsid w:val="00B85732"/>
    <w:rsid w:val="00B86499"/>
    <w:rsid w:val="00B864C4"/>
    <w:rsid w:val="00B865DE"/>
    <w:rsid w:val="00B91AAF"/>
    <w:rsid w:val="00BA143F"/>
    <w:rsid w:val="00BA161C"/>
    <w:rsid w:val="00BA3DFC"/>
    <w:rsid w:val="00BA6555"/>
    <w:rsid w:val="00BA66B0"/>
    <w:rsid w:val="00BA69AB"/>
    <w:rsid w:val="00BB34A9"/>
    <w:rsid w:val="00BB6D4A"/>
    <w:rsid w:val="00BB6E89"/>
    <w:rsid w:val="00BC0E4C"/>
    <w:rsid w:val="00BC25EA"/>
    <w:rsid w:val="00BC4D6F"/>
    <w:rsid w:val="00BC56A0"/>
    <w:rsid w:val="00BC73A1"/>
    <w:rsid w:val="00BD210D"/>
    <w:rsid w:val="00BD507E"/>
    <w:rsid w:val="00BD5B43"/>
    <w:rsid w:val="00BD5C1A"/>
    <w:rsid w:val="00BD7855"/>
    <w:rsid w:val="00BD7914"/>
    <w:rsid w:val="00BE17A3"/>
    <w:rsid w:val="00BE45EE"/>
    <w:rsid w:val="00BF3714"/>
    <w:rsid w:val="00BF452B"/>
    <w:rsid w:val="00BF6A1F"/>
    <w:rsid w:val="00C00DCE"/>
    <w:rsid w:val="00C01D5D"/>
    <w:rsid w:val="00C06F2A"/>
    <w:rsid w:val="00C113BA"/>
    <w:rsid w:val="00C13D3B"/>
    <w:rsid w:val="00C15C6B"/>
    <w:rsid w:val="00C17A2C"/>
    <w:rsid w:val="00C23F7F"/>
    <w:rsid w:val="00C247B8"/>
    <w:rsid w:val="00C26100"/>
    <w:rsid w:val="00C27D88"/>
    <w:rsid w:val="00C27E17"/>
    <w:rsid w:val="00C354F9"/>
    <w:rsid w:val="00C35E78"/>
    <w:rsid w:val="00C412EE"/>
    <w:rsid w:val="00C42083"/>
    <w:rsid w:val="00C427DF"/>
    <w:rsid w:val="00C43B7A"/>
    <w:rsid w:val="00C444BD"/>
    <w:rsid w:val="00C45130"/>
    <w:rsid w:val="00C46002"/>
    <w:rsid w:val="00C46316"/>
    <w:rsid w:val="00C472BA"/>
    <w:rsid w:val="00C50A43"/>
    <w:rsid w:val="00C5307D"/>
    <w:rsid w:val="00C5772C"/>
    <w:rsid w:val="00C578FF"/>
    <w:rsid w:val="00C57BC8"/>
    <w:rsid w:val="00C6152A"/>
    <w:rsid w:val="00C646BE"/>
    <w:rsid w:val="00C647D7"/>
    <w:rsid w:val="00C66319"/>
    <w:rsid w:val="00C714EE"/>
    <w:rsid w:val="00C74D38"/>
    <w:rsid w:val="00C8233B"/>
    <w:rsid w:val="00C85DB2"/>
    <w:rsid w:val="00C9037D"/>
    <w:rsid w:val="00C9135D"/>
    <w:rsid w:val="00C914FB"/>
    <w:rsid w:val="00C94403"/>
    <w:rsid w:val="00C94A24"/>
    <w:rsid w:val="00C94D9A"/>
    <w:rsid w:val="00C970C8"/>
    <w:rsid w:val="00CA42FF"/>
    <w:rsid w:val="00CA53C4"/>
    <w:rsid w:val="00CA5770"/>
    <w:rsid w:val="00CA70F4"/>
    <w:rsid w:val="00CA781C"/>
    <w:rsid w:val="00CB12BD"/>
    <w:rsid w:val="00CB163B"/>
    <w:rsid w:val="00CB1CD7"/>
    <w:rsid w:val="00CB45A4"/>
    <w:rsid w:val="00CB489D"/>
    <w:rsid w:val="00CB4B4C"/>
    <w:rsid w:val="00CC0AF4"/>
    <w:rsid w:val="00CC1E6A"/>
    <w:rsid w:val="00CC35A8"/>
    <w:rsid w:val="00CC7BA7"/>
    <w:rsid w:val="00CD16C2"/>
    <w:rsid w:val="00CD2AC7"/>
    <w:rsid w:val="00CD7B03"/>
    <w:rsid w:val="00CE104E"/>
    <w:rsid w:val="00CE1AC3"/>
    <w:rsid w:val="00CE2F78"/>
    <w:rsid w:val="00CE33DF"/>
    <w:rsid w:val="00CE652B"/>
    <w:rsid w:val="00CE738D"/>
    <w:rsid w:val="00CE7EB4"/>
    <w:rsid w:val="00CF0EB7"/>
    <w:rsid w:val="00CF11E5"/>
    <w:rsid w:val="00CF31D6"/>
    <w:rsid w:val="00CF698C"/>
    <w:rsid w:val="00CF6F9B"/>
    <w:rsid w:val="00D00A14"/>
    <w:rsid w:val="00D00DA5"/>
    <w:rsid w:val="00D030B3"/>
    <w:rsid w:val="00D03EDB"/>
    <w:rsid w:val="00D05312"/>
    <w:rsid w:val="00D10317"/>
    <w:rsid w:val="00D130C5"/>
    <w:rsid w:val="00D14F77"/>
    <w:rsid w:val="00D14FF1"/>
    <w:rsid w:val="00D16EC7"/>
    <w:rsid w:val="00D174B6"/>
    <w:rsid w:val="00D1778D"/>
    <w:rsid w:val="00D21DA3"/>
    <w:rsid w:val="00D238B9"/>
    <w:rsid w:val="00D2432C"/>
    <w:rsid w:val="00D2529A"/>
    <w:rsid w:val="00D26812"/>
    <w:rsid w:val="00D26F52"/>
    <w:rsid w:val="00D336A5"/>
    <w:rsid w:val="00D352E4"/>
    <w:rsid w:val="00D36AF3"/>
    <w:rsid w:val="00D37564"/>
    <w:rsid w:val="00D40902"/>
    <w:rsid w:val="00D42E5B"/>
    <w:rsid w:val="00D5282F"/>
    <w:rsid w:val="00D5390D"/>
    <w:rsid w:val="00D55005"/>
    <w:rsid w:val="00D554F4"/>
    <w:rsid w:val="00D57B99"/>
    <w:rsid w:val="00D610B1"/>
    <w:rsid w:val="00D61F9C"/>
    <w:rsid w:val="00D62716"/>
    <w:rsid w:val="00D639C9"/>
    <w:rsid w:val="00D63B74"/>
    <w:rsid w:val="00D66A08"/>
    <w:rsid w:val="00D7041D"/>
    <w:rsid w:val="00D70C0E"/>
    <w:rsid w:val="00D70D6F"/>
    <w:rsid w:val="00D71264"/>
    <w:rsid w:val="00D72D6F"/>
    <w:rsid w:val="00D75547"/>
    <w:rsid w:val="00D771EB"/>
    <w:rsid w:val="00D808D5"/>
    <w:rsid w:val="00D857BA"/>
    <w:rsid w:val="00D85C62"/>
    <w:rsid w:val="00D86523"/>
    <w:rsid w:val="00D87CFF"/>
    <w:rsid w:val="00D92CE4"/>
    <w:rsid w:val="00D92DF2"/>
    <w:rsid w:val="00D955D5"/>
    <w:rsid w:val="00DA0584"/>
    <w:rsid w:val="00DA1856"/>
    <w:rsid w:val="00DA6F46"/>
    <w:rsid w:val="00DA7147"/>
    <w:rsid w:val="00DA7A3E"/>
    <w:rsid w:val="00DB202B"/>
    <w:rsid w:val="00DB20FF"/>
    <w:rsid w:val="00DB44F4"/>
    <w:rsid w:val="00DB63E4"/>
    <w:rsid w:val="00DC03E8"/>
    <w:rsid w:val="00DC0E1A"/>
    <w:rsid w:val="00DC1575"/>
    <w:rsid w:val="00DC5E93"/>
    <w:rsid w:val="00DC67F6"/>
    <w:rsid w:val="00DC7089"/>
    <w:rsid w:val="00DD109C"/>
    <w:rsid w:val="00DD17EB"/>
    <w:rsid w:val="00DD195D"/>
    <w:rsid w:val="00DD31F0"/>
    <w:rsid w:val="00DD386E"/>
    <w:rsid w:val="00DD3CBB"/>
    <w:rsid w:val="00DD45C4"/>
    <w:rsid w:val="00DD7500"/>
    <w:rsid w:val="00DE1FC4"/>
    <w:rsid w:val="00DE494F"/>
    <w:rsid w:val="00DE530B"/>
    <w:rsid w:val="00DE5B7E"/>
    <w:rsid w:val="00DF1FAC"/>
    <w:rsid w:val="00DF400C"/>
    <w:rsid w:val="00DF45A7"/>
    <w:rsid w:val="00DF6ACC"/>
    <w:rsid w:val="00E0468E"/>
    <w:rsid w:val="00E11414"/>
    <w:rsid w:val="00E12765"/>
    <w:rsid w:val="00E14179"/>
    <w:rsid w:val="00E14DC6"/>
    <w:rsid w:val="00E15408"/>
    <w:rsid w:val="00E1658C"/>
    <w:rsid w:val="00E21725"/>
    <w:rsid w:val="00E217EB"/>
    <w:rsid w:val="00E236E6"/>
    <w:rsid w:val="00E24479"/>
    <w:rsid w:val="00E24658"/>
    <w:rsid w:val="00E2482B"/>
    <w:rsid w:val="00E25691"/>
    <w:rsid w:val="00E304C1"/>
    <w:rsid w:val="00E30F8B"/>
    <w:rsid w:val="00E324F6"/>
    <w:rsid w:val="00E342C8"/>
    <w:rsid w:val="00E34D23"/>
    <w:rsid w:val="00E351E5"/>
    <w:rsid w:val="00E361E6"/>
    <w:rsid w:val="00E404A8"/>
    <w:rsid w:val="00E41222"/>
    <w:rsid w:val="00E440DF"/>
    <w:rsid w:val="00E51419"/>
    <w:rsid w:val="00E5146E"/>
    <w:rsid w:val="00E52D70"/>
    <w:rsid w:val="00E55DBE"/>
    <w:rsid w:val="00E568EC"/>
    <w:rsid w:val="00E60F3D"/>
    <w:rsid w:val="00E70850"/>
    <w:rsid w:val="00E712C3"/>
    <w:rsid w:val="00E713A9"/>
    <w:rsid w:val="00E75470"/>
    <w:rsid w:val="00E809DD"/>
    <w:rsid w:val="00E833E9"/>
    <w:rsid w:val="00E84146"/>
    <w:rsid w:val="00E8705D"/>
    <w:rsid w:val="00E9022C"/>
    <w:rsid w:val="00E912EC"/>
    <w:rsid w:val="00E931AB"/>
    <w:rsid w:val="00E97052"/>
    <w:rsid w:val="00EA21E9"/>
    <w:rsid w:val="00EA47B6"/>
    <w:rsid w:val="00EA4CAF"/>
    <w:rsid w:val="00EA6D6C"/>
    <w:rsid w:val="00EB0C7C"/>
    <w:rsid w:val="00EB11FA"/>
    <w:rsid w:val="00EB12DA"/>
    <w:rsid w:val="00EB25F5"/>
    <w:rsid w:val="00EB28B3"/>
    <w:rsid w:val="00EB3052"/>
    <w:rsid w:val="00EB417A"/>
    <w:rsid w:val="00EB6D23"/>
    <w:rsid w:val="00EC09EF"/>
    <w:rsid w:val="00EC2D89"/>
    <w:rsid w:val="00EC379B"/>
    <w:rsid w:val="00EC4473"/>
    <w:rsid w:val="00EC68CF"/>
    <w:rsid w:val="00ED03B2"/>
    <w:rsid w:val="00ED6241"/>
    <w:rsid w:val="00ED62D8"/>
    <w:rsid w:val="00ED6AFB"/>
    <w:rsid w:val="00ED6E86"/>
    <w:rsid w:val="00ED7D6A"/>
    <w:rsid w:val="00EE18AC"/>
    <w:rsid w:val="00EE3440"/>
    <w:rsid w:val="00EE5D36"/>
    <w:rsid w:val="00EF46F3"/>
    <w:rsid w:val="00EF78C1"/>
    <w:rsid w:val="00F00EC2"/>
    <w:rsid w:val="00F01A9A"/>
    <w:rsid w:val="00F02149"/>
    <w:rsid w:val="00F02766"/>
    <w:rsid w:val="00F11981"/>
    <w:rsid w:val="00F12E8B"/>
    <w:rsid w:val="00F14E18"/>
    <w:rsid w:val="00F163BC"/>
    <w:rsid w:val="00F16CB3"/>
    <w:rsid w:val="00F178DC"/>
    <w:rsid w:val="00F212E2"/>
    <w:rsid w:val="00F225ED"/>
    <w:rsid w:val="00F23987"/>
    <w:rsid w:val="00F239F6"/>
    <w:rsid w:val="00F23F5C"/>
    <w:rsid w:val="00F26D3C"/>
    <w:rsid w:val="00F35352"/>
    <w:rsid w:val="00F3799A"/>
    <w:rsid w:val="00F403BD"/>
    <w:rsid w:val="00F42FB8"/>
    <w:rsid w:val="00F44EE2"/>
    <w:rsid w:val="00F50299"/>
    <w:rsid w:val="00F51304"/>
    <w:rsid w:val="00F538B6"/>
    <w:rsid w:val="00F54DE8"/>
    <w:rsid w:val="00F57078"/>
    <w:rsid w:val="00F57961"/>
    <w:rsid w:val="00F57C68"/>
    <w:rsid w:val="00F6758F"/>
    <w:rsid w:val="00F70399"/>
    <w:rsid w:val="00F7171B"/>
    <w:rsid w:val="00F73BEE"/>
    <w:rsid w:val="00F73CEC"/>
    <w:rsid w:val="00F73D7E"/>
    <w:rsid w:val="00F75521"/>
    <w:rsid w:val="00F758AA"/>
    <w:rsid w:val="00F82730"/>
    <w:rsid w:val="00F83448"/>
    <w:rsid w:val="00F84C1D"/>
    <w:rsid w:val="00F84D60"/>
    <w:rsid w:val="00F85854"/>
    <w:rsid w:val="00F871C3"/>
    <w:rsid w:val="00F90DBE"/>
    <w:rsid w:val="00F92F1F"/>
    <w:rsid w:val="00F942D0"/>
    <w:rsid w:val="00F950D1"/>
    <w:rsid w:val="00F954C8"/>
    <w:rsid w:val="00F95EBE"/>
    <w:rsid w:val="00F97E07"/>
    <w:rsid w:val="00FA2859"/>
    <w:rsid w:val="00FA4652"/>
    <w:rsid w:val="00FA65FF"/>
    <w:rsid w:val="00FB0E70"/>
    <w:rsid w:val="00FB3904"/>
    <w:rsid w:val="00FB4624"/>
    <w:rsid w:val="00FB5F3F"/>
    <w:rsid w:val="00FB78E1"/>
    <w:rsid w:val="00FC01DC"/>
    <w:rsid w:val="00FC356C"/>
    <w:rsid w:val="00FC47B9"/>
    <w:rsid w:val="00FC5E86"/>
    <w:rsid w:val="00FC729F"/>
    <w:rsid w:val="00FC7CEA"/>
    <w:rsid w:val="00FD326E"/>
    <w:rsid w:val="00FD3D71"/>
    <w:rsid w:val="00FD40B7"/>
    <w:rsid w:val="00FD5152"/>
    <w:rsid w:val="00FD580E"/>
    <w:rsid w:val="00FD6A37"/>
    <w:rsid w:val="00FE32D8"/>
    <w:rsid w:val="00FE4371"/>
    <w:rsid w:val="00FE5503"/>
    <w:rsid w:val="00FE5694"/>
    <w:rsid w:val="00FE70EF"/>
    <w:rsid w:val="00FF0470"/>
    <w:rsid w:val="00FF1BFA"/>
    <w:rsid w:val="00FF20C8"/>
    <w:rsid w:val="00FF4322"/>
    <w:rsid w:val="00FF6CD5"/>
    <w:rsid w:val="00FF7AB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967C3"/>
  <w15:docId w15:val="{1A2881B4-A011-4FF9-A872-9DC0A43AE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BA7"/>
  </w:style>
  <w:style w:type="paragraph" w:styleId="Heading1">
    <w:name w:val="heading 1"/>
    <w:basedOn w:val="Normal"/>
    <w:next w:val="Normal"/>
    <w:link w:val="Heading1Char"/>
    <w:qFormat/>
    <w:rsid w:val="00CF31D6"/>
    <w:pPr>
      <w:keepNext/>
      <w:widowControl w:val="0"/>
      <w:spacing w:after="0" w:line="240" w:lineRule="auto"/>
      <w:outlineLvl w:val="0"/>
    </w:pPr>
    <w:rPr>
      <w:rFonts w:ascii="Times New Roman" w:eastAsia="Times New Roman" w:hAnsi="Times New Roman" w:cs="Times New Roman"/>
      <w:sz w:val="24"/>
      <w:szCs w:val="20"/>
      <w:lang w:val="de-DE" w:eastAsia="de-DE"/>
    </w:rPr>
  </w:style>
  <w:style w:type="paragraph" w:styleId="Heading2">
    <w:name w:val="heading 2"/>
    <w:basedOn w:val="Normal"/>
    <w:next w:val="Normal"/>
    <w:link w:val="Heading2Char"/>
    <w:uiPriority w:val="9"/>
    <w:semiHidden/>
    <w:unhideWhenUsed/>
    <w:qFormat/>
    <w:rsid w:val="001B57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585DDE"/>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585DDE"/>
    <w:rPr>
      <w:rFonts w:ascii="Times New Roman" w:eastAsia="Times New Roman" w:hAnsi="Times New Roman" w:cs="Times New Roman"/>
      <w:sz w:val="20"/>
      <w:szCs w:val="20"/>
    </w:rPr>
  </w:style>
  <w:style w:type="character" w:styleId="FootnoteReference">
    <w:name w:val="footnote reference"/>
    <w:basedOn w:val="DefaultParagraphFont"/>
    <w:uiPriority w:val="99"/>
    <w:rsid w:val="00585DDE"/>
    <w:rPr>
      <w:vertAlign w:val="superscript"/>
    </w:rPr>
  </w:style>
  <w:style w:type="paragraph" w:styleId="NormalWeb">
    <w:name w:val="Normal (Web)"/>
    <w:basedOn w:val="Normal"/>
    <w:uiPriority w:val="99"/>
    <w:unhideWhenUsed/>
    <w:rsid w:val="00585DD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585DDE"/>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585DDE"/>
    <w:rPr>
      <w:rFonts w:ascii="Times New Roman" w:eastAsia="Times New Roman" w:hAnsi="Times New Roman" w:cs="Times New Roman"/>
      <w:sz w:val="24"/>
      <w:szCs w:val="24"/>
    </w:rPr>
  </w:style>
  <w:style w:type="paragraph" w:styleId="Footer">
    <w:name w:val="footer"/>
    <w:basedOn w:val="Normal"/>
    <w:link w:val="FooterChar"/>
    <w:uiPriority w:val="99"/>
    <w:rsid w:val="00585DDE"/>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585DDE"/>
    <w:rPr>
      <w:rFonts w:ascii="Times New Roman" w:eastAsia="Times New Roman" w:hAnsi="Times New Roman" w:cs="Times New Roman"/>
      <w:sz w:val="24"/>
      <w:szCs w:val="24"/>
    </w:rPr>
  </w:style>
  <w:style w:type="paragraph" w:styleId="ListParagraph">
    <w:name w:val="List Paragraph"/>
    <w:basedOn w:val="Normal"/>
    <w:uiPriority w:val="34"/>
    <w:qFormat/>
    <w:rsid w:val="00E931AB"/>
    <w:pPr>
      <w:ind w:left="720"/>
      <w:contextualSpacing/>
    </w:pPr>
  </w:style>
  <w:style w:type="paragraph" w:styleId="EndnoteText">
    <w:name w:val="endnote text"/>
    <w:basedOn w:val="Normal"/>
    <w:link w:val="EndnoteTextChar"/>
    <w:semiHidden/>
    <w:rsid w:val="002E6C8D"/>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2E6C8D"/>
    <w:rPr>
      <w:rFonts w:ascii="Times New Roman" w:eastAsia="Times New Roman" w:hAnsi="Times New Roman" w:cs="Times New Roman"/>
      <w:sz w:val="20"/>
      <w:szCs w:val="20"/>
    </w:rPr>
  </w:style>
  <w:style w:type="character" w:styleId="EndnoteReference">
    <w:name w:val="endnote reference"/>
    <w:basedOn w:val="DefaultParagraphFont"/>
    <w:semiHidden/>
    <w:rsid w:val="002E6C8D"/>
    <w:rPr>
      <w:vertAlign w:val="superscript"/>
    </w:rPr>
  </w:style>
  <w:style w:type="character" w:styleId="Hyperlink">
    <w:name w:val="Hyperlink"/>
    <w:basedOn w:val="DefaultParagraphFont"/>
    <w:uiPriority w:val="99"/>
    <w:rsid w:val="002E6C8D"/>
    <w:rPr>
      <w:color w:val="0000FF"/>
      <w:u w:val="single"/>
    </w:rPr>
  </w:style>
  <w:style w:type="character" w:customStyle="1" w:styleId="Heading1Char">
    <w:name w:val="Heading 1 Char"/>
    <w:basedOn w:val="DefaultParagraphFont"/>
    <w:link w:val="Heading1"/>
    <w:rsid w:val="00CF31D6"/>
    <w:rPr>
      <w:rFonts w:ascii="Times New Roman" w:eastAsia="Times New Roman" w:hAnsi="Times New Roman" w:cs="Times New Roman"/>
      <w:sz w:val="24"/>
      <w:szCs w:val="20"/>
      <w:lang w:val="de-DE" w:eastAsia="de-DE"/>
    </w:rPr>
  </w:style>
  <w:style w:type="character" w:customStyle="1" w:styleId="longtext">
    <w:name w:val="long_text"/>
    <w:basedOn w:val="DefaultParagraphFont"/>
    <w:rsid w:val="007B3F0C"/>
  </w:style>
  <w:style w:type="character" w:customStyle="1" w:styleId="hps">
    <w:name w:val="hps"/>
    <w:basedOn w:val="DefaultParagraphFont"/>
    <w:rsid w:val="007B3F0C"/>
  </w:style>
  <w:style w:type="paragraph" w:styleId="BalloonText">
    <w:name w:val="Balloon Text"/>
    <w:basedOn w:val="Normal"/>
    <w:link w:val="BalloonTextChar"/>
    <w:uiPriority w:val="99"/>
    <w:semiHidden/>
    <w:unhideWhenUsed/>
    <w:rsid w:val="00362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30B"/>
    <w:rPr>
      <w:rFonts w:ascii="Tahoma" w:hAnsi="Tahoma" w:cs="Tahoma"/>
      <w:sz w:val="16"/>
      <w:szCs w:val="16"/>
    </w:rPr>
  </w:style>
  <w:style w:type="table" w:styleId="TableGrid">
    <w:name w:val="Table Grid"/>
    <w:basedOn w:val="TableNormal"/>
    <w:uiPriority w:val="59"/>
    <w:rsid w:val="006C21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2738FD"/>
    <w:pPr>
      <w:spacing w:after="0" w:line="240" w:lineRule="auto"/>
    </w:pPr>
    <w:rPr>
      <w:lang w:val="id-ID" w:eastAsia="id-ID"/>
    </w:rPr>
  </w:style>
  <w:style w:type="character" w:styleId="PageNumber">
    <w:name w:val="page number"/>
    <w:basedOn w:val="DefaultParagraphFont"/>
    <w:rsid w:val="002738FD"/>
  </w:style>
  <w:style w:type="paragraph" w:styleId="DocumentMap">
    <w:name w:val="Document Map"/>
    <w:basedOn w:val="Normal"/>
    <w:link w:val="DocumentMapChar"/>
    <w:semiHidden/>
    <w:rsid w:val="002738FD"/>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2738FD"/>
    <w:rPr>
      <w:rFonts w:ascii="Tahoma" w:eastAsia="Times New Roman" w:hAnsi="Tahoma" w:cs="Tahoma"/>
      <w:sz w:val="20"/>
      <w:szCs w:val="20"/>
      <w:shd w:val="clear" w:color="auto" w:fill="000080"/>
    </w:rPr>
  </w:style>
  <w:style w:type="character" w:customStyle="1" w:styleId="CharacterStyle1">
    <w:name w:val="Character Style 1"/>
    <w:uiPriority w:val="99"/>
    <w:rsid w:val="002738FD"/>
    <w:rPr>
      <w:rFonts w:ascii="Arial Narrow" w:hAnsi="Arial Narrow" w:cs="Arial Narrow"/>
      <w:color w:val="000000"/>
      <w:sz w:val="18"/>
      <w:szCs w:val="18"/>
    </w:rPr>
  </w:style>
  <w:style w:type="paragraph" w:customStyle="1" w:styleId="Style1">
    <w:name w:val="Style 1"/>
    <w:uiPriority w:val="99"/>
    <w:rsid w:val="002738FD"/>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haracterStyle3">
    <w:name w:val="Character Style 3"/>
    <w:uiPriority w:val="99"/>
    <w:rsid w:val="002738FD"/>
    <w:rPr>
      <w:color w:val="000000"/>
      <w:sz w:val="16"/>
      <w:szCs w:val="16"/>
    </w:rPr>
  </w:style>
  <w:style w:type="paragraph" w:customStyle="1" w:styleId="Style2">
    <w:name w:val="Style 2"/>
    <w:uiPriority w:val="99"/>
    <w:rsid w:val="002738FD"/>
    <w:pPr>
      <w:widowControl w:val="0"/>
      <w:autoSpaceDE w:val="0"/>
      <w:autoSpaceDN w:val="0"/>
      <w:spacing w:after="0" w:line="240" w:lineRule="auto"/>
      <w:jc w:val="both"/>
    </w:pPr>
    <w:rPr>
      <w:rFonts w:ascii="Times New Roman" w:eastAsia="Times New Roman" w:hAnsi="Times New Roman" w:cs="Times New Roman"/>
    </w:rPr>
  </w:style>
  <w:style w:type="character" w:customStyle="1" w:styleId="CharacterStyle2">
    <w:name w:val="Character Style 2"/>
    <w:uiPriority w:val="99"/>
    <w:rsid w:val="002738FD"/>
    <w:rPr>
      <w:rFonts w:ascii="Garamond" w:hAnsi="Garamond" w:cs="Garamond"/>
      <w:sz w:val="22"/>
      <w:szCs w:val="22"/>
    </w:rPr>
  </w:style>
  <w:style w:type="paragraph" w:customStyle="1" w:styleId="Style3">
    <w:name w:val="Style 3"/>
    <w:uiPriority w:val="99"/>
    <w:rsid w:val="002738FD"/>
    <w:pPr>
      <w:widowControl w:val="0"/>
      <w:autoSpaceDE w:val="0"/>
      <w:autoSpaceDN w:val="0"/>
      <w:spacing w:before="144" w:after="0" w:line="240" w:lineRule="auto"/>
      <w:ind w:firstLine="216"/>
      <w:jc w:val="both"/>
    </w:pPr>
    <w:rPr>
      <w:rFonts w:ascii="Garamond" w:eastAsia="Times New Roman" w:hAnsi="Garamond" w:cs="Garamond"/>
    </w:rPr>
  </w:style>
  <w:style w:type="character" w:customStyle="1" w:styleId="atn">
    <w:name w:val="atn"/>
    <w:basedOn w:val="DefaultParagraphFont"/>
    <w:rsid w:val="002738FD"/>
  </w:style>
  <w:style w:type="character" w:customStyle="1" w:styleId="Heading2Char">
    <w:name w:val="Heading 2 Char"/>
    <w:basedOn w:val="DefaultParagraphFont"/>
    <w:link w:val="Heading2"/>
    <w:uiPriority w:val="9"/>
    <w:semiHidden/>
    <w:rsid w:val="001B5726"/>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95EBE"/>
    <w:rPr>
      <w:i/>
      <w:iCs/>
    </w:rPr>
  </w:style>
  <w:style w:type="character" w:styleId="Strong">
    <w:name w:val="Strong"/>
    <w:basedOn w:val="DefaultParagraphFont"/>
    <w:uiPriority w:val="22"/>
    <w:qFormat/>
    <w:rsid w:val="0025503C"/>
    <w:rPr>
      <w:b/>
      <w:bCs/>
    </w:rPr>
  </w:style>
  <w:style w:type="character" w:customStyle="1" w:styleId="UnresolvedMention1">
    <w:name w:val="Unresolved Mention1"/>
    <w:basedOn w:val="DefaultParagraphFont"/>
    <w:uiPriority w:val="99"/>
    <w:semiHidden/>
    <w:unhideWhenUsed/>
    <w:rsid w:val="0091456E"/>
    <w:rPr>
      <w:color w:val="605E5C"/>
      <w:shd w:val="clear" w:color="auto" w:fill="E1DFDD"/>
    </w:rPr>
  </w:style>
  <w:style w:type="paragraph" w:styleId="Bibliography">
    <w:name w:val="Bibliography"/>
    <w:basedOn w:val="Normal"/>
    <w:next w:val="Normal"/>
    <w:uiPriority w:val="37"/>
    <w:unhideWhenUsed/>
    <w:rsid w:val="009E2D4B"/>
    <w:rPr>
      <w:rFonts w:eastAsiaTheme="minorHAnsi"/>
    </w:rPr>
  </w:style>
  <w:style w:type="table" w:styleId="LightList">
    <w:name w:val="Light List"/>
    <w:basedOn w:val="TableNormal"/>
    <w:uiPriority w:val="61"/>
    <w:rsid w:val="00ED6E8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SubtleEmphasis">
    <w:name w:val="Subtle Emphasis"/>
    <w:basedOn w:val="DefaultParagraphFont"/>
    <w:uiPriority w:val="19"/>
    <w:qFormat/>
    <w:rsid w:val="00CC7BA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45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b:Source>
    <b:Tag>Rez20</b:Tag>
    <b:SourceType>Book</b:SourceType>
    <b:Guid>{738C87E7-8B5B-4BE3-B707-F450D9084D7C}</b:Guid>
    <b:Author>
      <b:Author>
        <b:NameList>
          <b:Person>
            <b:Last>Wattimena</b:Last>
            <b:First>Reza</b:First>
            <b:Middle>A. A.</b:Middle>
          </b:Person>
        </b:NameList>
      </b:Author>
    </b:Author>
    <b:Title>Untuk Semua yang Beragama Agama dalam Pelukan Filsafat, Politik, dan Spiritualitas</b:Title>
    <b:Year>2020</b:Year>
    <b:City>Yogyakarta</b:City>
    <b:Publisher>Kanisius</b:Publisher>
    <b:RefOrder>24</b:RefOrder>
  </b:Source>
</b:Sources>
</file>

<file path=customXml/itemProps1.xml><?xml version="1.0" encoding="utf-8"?>
<ds:datastoreItem xmlns:ds="http://schemas.openxmlformats.org/officeDocument/2006/customXml" ds:itemID="{6B5BFDE1-01B6-49F9-A838-19C7B32A6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9</Pages>
  <Words>3029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STT SIMPSON</dc:creator>
  <cp:keywords/>
  <dc:description/>
  <cp:lastModifiedBy>user</cp:lastModifiedBy>
  <cp:revision>27</cp:revision>
  <cp:lastPrinted>2016-01-11T05:42:00Z</cp:lastPrinted>
  <dcterms:created xsi:type="dcterms:W3CDTF">2021-01-28T00:33:00Z</dcterms:created>
  <dcterms:modified xsi:type="dcterms:W3CDTF">2021-02-01T06:00:00Z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http://www.zotero.org/styles/turabian-fullnote-bibliography</vt:lpwstr>
  </property>
  <property fmtid="{D5CDD505-2E9C-101B-9397-08002B2CF9AE}" pid="4" name="Mendeley Unique User Id_1">
    <vt:lpwstr>3765421e-e468-3a58-95e9-e842aa3a4b34</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http://www.zotero.org/styles/chicago-fullnote-bibliography</vt:lpwstr>
  </property>
  <property fmtid="{D5CDD505-2E9C-101B-9397-08002B2CF9AE}" pid="16" name="Mendeley Recent Style Name 5_1">
    <vt:lpwstr>Chicago Manual of Style 17th edition (full note)</vt:lpwstr>
  </property>
  <property fmtid="{D5CDD505-2E9C-101B-9397-08002B2CF9AE}" pid="17" name="Mendeley Recent Style Id 6_1">
    <vt:lpwstr>http://www.zotero.org/styles/harvard-cite-them-right</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ies>
</file>